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AF" w:rsidRPr="009541F7" w:rsidRDefault="009C24AF" w:rsidP="0001756E">
      <w:pPr>
        <w:pStyle w:val="Ttulo1"/>
        <w:rPr>
          <w:rFonts w:ascii="Times New Roman" w:hAnsi="Times New Roman" w:cs="Times New Roman"/>
          <w:color w:val="auto"/>
        </w:rPr>
      </w:pPr>
      <w:bookmarkStart w:id="0" w:name="_Toc422125412"/>
      <w:r w:rsidRPr="009541F7">
        <w:rPr>
          <w:rFonts w:ascii="Times New Roman" w:hAnsi="Times New Roman" w:cs="Times New Roman"/>
          <w:color w:val="auto"/>
        </w:rPr>
        <w:t>Avaliação dos Cursos de Licenciatura em Matemática: uma proposta utilizando o Método Multicritério ELECTRE TRI-C</w:t>
      </w:r>
    </w:p>
    <w:p w:rsidR="000556DC" w:rsidRDefault="00C9773B" w:rsidP="00456E82">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Resumo: </w:t>
      </w:r>
      <w:r w:rsidR="009C24AF" w:rsidRPr="009C24AF">
        <w:rPr>
          <w:rFonts w:ascii="Times New Roman" w:hAnsi="Times New Roman" w:cs="Times New Roman"/>
          <w:sz w:val="24"/>
          <w:szCs w:val="24"/>
        </w:rPr>
        <w:t>A avaliação da qualidade dos cursos de graduação no Brasil é feita através do Conceito Preliminar de Cursos (CPC)</w:t>
      </w:r>
      <w:r w:rsidR="001D4DAA">
        <w:rPr>
          <w:rFonts w:ascii="Times New Roman" w:hAnsi="Times New Roman" w:cs="Times New Roman"/>
          <w:sz w:val="24"/>
          <w:szCs w:val="24"/>
        </w:rPr>
        <w:t xml:space="preserve">. Alguns autores destacam que o CPC apresenta problemas como a compensatoriedade, transformações e padronizações nas notas que podem promover distorções nos resultados finais. O objetivo do trabalho é propor uma nova metodologia para classificar os cursos de graduação. A metodologia foi aplicada nos cursos de Licenciatura em Matemática das Instituições de Ensino Superior (IES) do Brasil. Os critérios e pesos de cada critério foram os mesmos utilizados pelo CPC. </w:t>
      </w:r>
      <w:r w:rsidR="00985FB0">
        <w:rPr>
          <w:rFonts w:ascii="Times New Roman" w:hAnsi="Times New Roman" w:cs="Times New Roman"/>
          <w:sz w:val="24"/>
          <w:szCs w:val="24"/>
        </w:rPr>
        <w:t>P</w:t>
      </w:r>
      <w:r w:rsidR="00980BF6">
        <w:rPr>
          <w:rFonts w:ascii="Times New Roman" w:hAnsi="Times New Roman" w:cs="Times New Roman"/>
          <w:sz w:val="24"/>
          <w:szCs w:val="24"/>
        </w:rPr>
        <w:t xml:space="preserve">ara a definição das ações de referencia foram definidos cinco intervalos proporcionais aos intervalos definidos na classificação feita pelo </w:t>
      </w:r>
      <w:r w:rsidR="009F75ED">
        <w:rPr>
          <w:rFonts w:ascii="Times New Roman" w:hAnsi="Times New Roman" w:cs="Times New Roman"/>
          <w:sz w:val="24"/>
          <w:szCs w:val="24"/>
        </w:rPr>
        <w:t>CPC</w:t>
      </w:r>
      <w:r w:rsidR="00980BF6">
        <w:rPr>
          <w:rFonts w:ascii="Times New Roman" w:hAnsi="Times New Roman" w:cs="Times New Roman"/>
          <w:sz w:val="24"/>
          <w:szCs w:val="24"/>
        </w:rPr>
        <w:t xml:space="preserve">. </w:t>
      </w:r>
      <w:r w:rsidR="00017C70">
        <w:rPr>
          <w:rFonts w:ascii="Times New Roman" w:eastAsiaTheme="minorEastAsia" w:hAnsi="Times New Roman" w:cs="Times New Roman"/>
          <w:sz w:val="24"/>
          <w:szCs w:val="24"/>
        </w:rPr>
        <w:t>Os resultados mostraram que houve grande alteração na classificação dos cursos</w:t>
      </w:r>
      <w:r w:rsidR="00017C70">
        <w:rPr>
          <w:rFonts w:ascii="Times New Roman" w:hAnsi="Times New Roman" w:cs="Times New Roman"/>
          <w:sz w:val="24"/>
          <w:szCs w:val="24"/>
        </w:rPr>
        <w:t>:</w:t>
      </w:r>
      <w:r w:rsidR="00017C70">
        <w:rPr>
          <w:rFonts w:ascii="Times New Roman" w:eastAsiaTheme="minorEastAsia" w:hAnsi="Times New Roman" w:cs="Times New Roman"/>
          <w:sz w:val="24"/>
          <w:szCs w:val="24"/>
        </w:rPr>
        <w:t xml:space="preserve"> 142 tiveram sua classificação alterada, dentre esses, 135 pioram suas classificações. Desses que pioraram,</w:t>
      </w:r>
      <w:r w:rsidR="001D4DAA">
        <w:rPr>
          <w:rFonts w:ascii="Times New Roman" w:hAnsi="Times New Roman" w:cs="Times New Roman"/>
          <w:sz w:val="24"/>
          <w:szCs w:val="24"/>
        </w:rPr>
        <w:t xml:space="preserve"> 48% foram alocados nas categorias </w:t>
      </w:r>
      <w:r w:rsidR="00017C70">
        <w:rPr>
          <w:rFonts w:ascii="Times New Roman" w:hAnsi="Times New Roman" w:cs="Times New Roman"/>
          <w:sz w:val="24"/>
          <w:szCs w:val="24"/>
        </w:rPr>
        <w:t>com conceito ruim e muito ruim</w:t>
      </w:r>
      <w:r w:rsidR="001D4DAA">
        <w:rPr>
          <w:rFonts w:ascii="Times New Roman" w:hAnsi="Times New Roman" w:cs="Times New Roman"/>
          <w:sz w:val="24"/>
          <w:szCs w:val="24"/>
        </w:rPr>
        <w:t xml:space="preserve">. </w:t>
      </w:r>
      <w:r w:rsidR="000556DC">
        <w:rPr>
          <w:rFonts w:ascii="Times New Roman" w:eastAsiaTheme="minorEastAsia" w:hAnsi="Times New Roman" w:cs="Times New Roman"/>
          <w:sz w:val="24"/>
          <w:szCs w:val="24"/>
        </w:rPr>
        <w:t>A comparação do</w:t>
      </w:r>
      <w:r w:rsidR="00456E82">
        <w:rPr>
          <w:rFonts w:ascii="Times New Roman" w:eastAsiaTheme="minorEastAsia" w:hAnsi="Times New Roman" w:cs="Times New Roman"/>
          <w:sz w:val="24"/>
          <w:szCs w:val="24"/>
        </w:rPr>
        <w:t>s</w:t>
      </w:r>
      <w:r w:rsidR="000556DC">
        <w:rPr>
          <w:rFonts w:ascii="Times New Roman" w:eastAsiaTheme="minorEastAsia" w:hAnsi="Times New Roman" w:cs="Times New Roman"/>
          <w:sz w:val="24"/>
          <w:szCs w:val="24"/>
        </w:rPr>
        <w:t xml:space="preserve"> resultado</w:t>
      </w:r>
      <w:r w:rsidR="00456E82">
        <w:rPr>
          <w:rFonts w:ascii="Times New Roman" w:eastAsiaTheme="minorEastAsia" w:hAnsi="Times New Roman" w:cs="Times New Roman"/>
          <w:sz w:val="24"/>
          <w:szCs w:val="24"/>
        </w:rPr>
        <w:t xml:space="preserve">s da metodologia proposta com a atual </w:t>
      </w:r>
      <w:r w:rsidR="000556DC">
        <w:rPr>
          <w:rFonts w:ascii="Times New Roman" w:eastAsiaTheme="minorEastAsia" w:hAnsi="Times New Roman" w:cs="Times New Roman"/>
          <w:sz w:val="24"/>
          <w:szCs w:val="24"/>
        </w:rPr>
        <w:t xml:space="preserve">permitiu um olhar diferente sobre a avaliação dos cursos de graduação e </w:t>
      </w:r>
      <w:r w:rsidR="00456E82">
        <w:rPr>
          <w:rFonts w:ascii="Times New Roman" w:eastAsiaTheme="minorEastAsia" w:hAnsi="Times New Roman" w:cs="Times New Roman"/>
          <w:sz w:val="24"/>
          <w:szCs w:val="24"/>
        </w:rPr>
        <w:t>a observação de</w:t>
      </w:r>
      <w:r w:rsidR="000556DC">
        <w:rPr>
          <w:rFonts w:ascii="Times New Roman" w:eastAsiaTheme="minorEastAsia" w:hAnsi="Times New Roman" w:cs="Times New Roman"/>
          <w:sz w:val="24"/>
          <w:szCs w:val="24"/>
        </w:rPr>
        <w:t xml:space="preserve"> que o desempenho nos critérios de alguns cursos não justifica sua classificação atual no CPC. A adesão </w:t>
      </w:r>
      <w:r w:rsidR="00456E82">
        <w:rPr>
          <w:rFonts w:ascii="Times New Roman" w:eastAsiaTheme="minorEastAsia" w:hAnsi="Times New Roman" w:cs="Times New Roman"/>
          <w:sz w:val="24"/>
          <w:szCs w:val="24"/>
        </w:rPr>
        <w:t xml:space="preserve">da metodologia, </w:t>
      </w:r>
      <w:r w:rsidR="000556DC">
        <w:rPr>
          <w:rFonts w:ascii="Times New Roman" w:eastAsiaTheme="minorEastAsia" w:hAnsi="Times New Roman" w:cs="Times New Roman"/>
          <w:sz w:val="24"/>
          <w:szCs w:val="24"/>
        </w:rPr>
        <w:t xml:space="preserve">apesar de difícil </w:t>
      </w:r>
      <w:r w:rsidR="009F75ED">
        <w:rPr>
          <w:rFonts w:ascii="Times New Roman" w:eastAsiaTheme="minorEastAsia" w:hAnsi="Times New Roman" w:cs="Times New Roman"/>
          <w:sz w:val="24"/>
          <w:szCs w:val="24"/>
        </w:rPr>
        <w:t>por</w:t>
      </w:r>
      <w:r w:rsidR="000556DC">
        <w:rPr>
          <w:rFonts w:ascii="Times New Roman" w:eastAsiaTheme="minorEastAsia" w:hAnsi="Times New Roman" w:cs="Times New Roman"/>
          <w:sz w:val="24"/>
          <w:szCs w:val="24"/>
        </w:rPr>
        <w:t xml:space="preserve"> alterar para pior </w:t>
      </w:r>
      <w:r w:rsidR="009F75ED">
        <w:rPr>
          <w:rFonts w:ascii="Times New Roman" w:eastAsiaTheme="minorEastAsia" w:hAnsi="Times New Roman" w:cs="Times New Roman"/>
          <w:sz w:val="24"/>
          <w:szCs w:val="24"/>
        </w:rPr>
        <w:t xml:space="preserve">a classificação </w:t>
      </w:r>
      <w:r w:rsidR="000556DC">
        <w:rPr>
          <w:rFonts w:ascii="Times New Roman" w:eastAsiaTheme="minorEastAsia" w:hAnsi="Times New Roman" w:cs="Times New Roman"/>
          <w:sz w:val="24"/>
          <w:szCs w:val="24"/>
        </w:rPr>
        <w:t>de aprox</w:t>
      </w:r>
      <w:r w:rsidR="00985FB0">
        <w:rPr>
          <w:rFonts w:ascii="Times New Roman" w:eastAsiaTheme="minorEastAsia" w:hAnsi="Times New Roman" w:cs="Times New Roman"/>
          <w:sz w:val="24"/>
          <w:szCs w:val="24"/>
        </w:rPr>
        <w:t>imadamente metade</w:t>
      </w:r>
      <w:r w:rsidR="000556DC">
        <w:rPr>
          <w:rFonts w:ascii="Times New Roman" w:eastAsiaTheme="minorEastAsia" w:hAnsi="Times New Roman" w:cs="Times New Roman"/>
          <w:sz w:val="24"/>
          <w:szCs w:val="24"/>
        </w:rPr>
        <w:t xml:space="preserve"> dos cursos, traria benefícios e a consequente melhoria da qualidade dos cursos formadores de professores de matemática do país, pois o ELECTRE TRI-C se mostrou mais </w:t>
      </w:r>
      <w:r w:rsidR="009F75ED">
        <w:rPr>
          <w:rFonts w:ascii="Times New Roman" w:eastAsiaTheme="minorEastAsia" w:hAnsi="Times New Roman" w:cs="Times New Roman"/>
          <w:sz w:val="24"/>
          <w:szCs w:val="24"/>
        </w:rPr>
        <w:t>exigente</w:t>
      </w:r>
      <w:r w:rsidR="000556DC">
        <w:rPr>
          <w:rFonts w:ascii="Times New Roman" w:eastAsiaTheme="minorEastAsia" w:hAnsi="Times New Roman" w:cs="Times New Roman"/>
          <w:sz w:val="24"/>
          <w:szCs w:val="24"/>
        </w:rPr>
        <w:t xml:space="preserve"> na qualificação dos cursos o que obrigaria as IES a melhorar seus desempenhos</w:t>
      </w:r>
      <w:r w:rsidR="009F75ED">
        <w:rPr>
          <w:rFonts w:ascii="Times New Roman" w:eastAsiaTheme="minorEastAsia" w:hAnsi="Times New Roman" w:cs="Times New Roman"/>
          <w:sz w:val="24"/>
          <w:szCs w:val="24"/>
        </w:rPr>
        <w:t xml:space="preserve"> para</w:t>
      </w:r>
      <w:r w:rsidR="000556DC">
        <w:rPr>
          <w:rFonts w:ascii="Times New Roman" w:eastAsiaTheme="minorEastAsia" w:hAnsi="Times New Roman" w:cs="Times New Roman"/>
          <w:sz w:val="24"/>
          <w:szCs w:val="24"/>
        </w:rPr>
        <w:t xml:space="preserve"> conseguir conceitos </w:t>
      </w:r>
      <w:r w:rsidR="009F75ED">
        <w:rPr>
          <w:rFonts w:ascii="Times New Roman" w:eastAsiaTheme="minorEastAsia" w:hAnsi="Times New Roman" w:cs="Times New Roman"/>
          <w:sz w:val="24"/>
          <w:szCs w:val="24"/>
        </w:rPr>
        <w:t>melhores</w:t>
      </w:r>
      <w:r w:rsidR="000556DC">
        <w:rPr>
          <w:rFonts w:ascii="Times New Roman" w:eastAsiaTheme="minorEastAsia" w:hAnsi="Times New Roman" w:cs="Times New Roman"/>
          <w:sz w:val="24"/>
          <w:szCs w:val="24"/>
        </w:rPr>
        <w:t>.</w:t>
      </w:r>
    </w:p>
    <w:p w:rsidR="00D85084" w:rsidRDefault="00D85084" w:rsidP="001D4DAA">
      <w:pPr>
        <w:jc w:val="both"/>
        <w:rPr>
          <w:rFonts w:ascii="Times New Roman" w:hAnsi="Times New Roman" w:cs="Times New Roman"/>
          <w:sz w:val="24"/>
          <w:szCs w:val="24"/>
        </w:rPr>
      </w:pPr>
      <w:r>
        <w:rPr>
          <w:rFonts w:ascii="Times New Roman" w:hAnsi="Times New Roman" w:cs="Times New Roman"/>
          <w:sz w:val="24"/>
          <w:szCs w:val="24"/>
        </w:rPr>
        <w:t>Palavras-chave: Avaliação de Cursos de Graduação, Auxílio Multicritério à Tomada de Decisão, ELECTRE TRI-C.</w:t>
      </w:r>
    </w:p>
    <w:p w:rsidR="0048138F" w:rsidRDefault="00C9773B" w:rsidP="001D4DAA">
      <w:pPr>
        <w:jc w:val="both"/>
        <w:rPr>
          <w:rFonts w:ascii="Times New Roman" w:hAnsi="Times New Roman" w:cs="Times New Roman"/>
          <w:sz w:val="24"/>
          <w:szCs w:val="24"/>
          <w:lang w:val="en-US"/>
        </w:rPr>
      </w:pPr>
      <w:r w:rsidRPr="00C9773B">
        <w:rPr>
          <w:rFonts w:ascii="Times New Roman" w:hAnsi="Times New Roman" w:cs="Times New Roman"/>
          <w:sz w:val="24"/>
          <w:szCs w:val="24"/>
          <w:lang w:val="en-US"/>
        </w:rPr>
        <w:t xml:space="preserve">Abstract: </w:t>
      </w:r>
      <w:r w:rsidR="0048138F" w:rsidRPr="0048138F">
        <w:rPr>
          <w:rFonts w:ascii="Times New Roman" w:hAnsi="Times New Roman" w:cs="Times New Roman"/>
          <w:sz w:val="24"/>
          <w:szCs w:val="24"/>
          <w:lang w:val="en-US"/>
        </w:rPr>
        <w:t xml:space="preserve">The evaluation of the quality of undergraduate courses in Brazil is done through the Concept </w:t>
      </w:r>
      <w:r w:rsidR="0048138F">
        <w:rPr>
          <w:rFonts w:ascii="Times New Roman" w:hAnsi="Times New Roman" w:cs="Times New Roman"/>
          <w:sz w:val="24"/>
          <w:szCs w:val="24"/>
          <w:lang w:val="en-US"/>
        </w:rPr>
        <w:t>P</w:t>
      </w:r>
      <w:r w:rsidR="0048138F" w:rsidRPr="0048138F">
        <w:rPr>
          <w:rFonts w:ascii="Times New Roman" w:hAnsi="Times New Roman" w:cs="Times New Roman"/>
          <w:sz w:val="24"/>
          <w:szCs w:val="24"/>
          <w:lang w:val="en-US"/>
        </w:rPr>
        <w:t xml:space="preserve">reliminary </w:t>
      </w:r>
      <w:r w:rsidR="0048138F">
        <w:rPr>
          <w:rFonts w:ascii="Times New Roman" w:hAnsi="Times New Roman" w:cs="Times New Roman"/>
          <w:sz w:val="24"/>
          <w:szCs w:val="24"/>
          <w:lang w:val="en-US"/>
        </w:rPr>
        <w:t>C</w:t>
      </w:r>
      <w:r w:rsidR="0048138F" w:rsidRPr="0048138F">
        <w:rPr>
          <w:rFonts w:ascii="Times New Roman" w:hAnsi="Times New Roman" w:cs="Times New Roman"/>
          <w:sz w:val="24"/>
          <w:szCs w:val="24"/>
          <w:lang w:val="en-US"/>
        </w:rPr>
        <w:t>ourses (CPC). Some authors point out that the CPC has problems like compensatoriedade, transformation and standardization in the notes that can promote distortions in the final results. The objective is to propose a new methodology to rank the undergraduate courses. The methodology was applied in degree courses in Mathematics of Higher Education Institutions (</w:t>
      </w:r>
      <w:r w:rsidR="0048138F">
        <w:rPr>
          <w:rFonts w:ascii="Times New Roman" w:hAnsi="Times New Roman" w:cs="Times New Roman"/>
          <w:sz w:val="24"/>
          <w:szCs w:val="24"/>
          <w:lang w:val="en-US"/>
        </w:rPr>
        <w:t>IES</w:t>
      </w:r>
      <w:r w:rsidR="0048138F" w:rsidRPr="0048138F">
        <w:rPr>
          <w:rFonts w:ascii="Times New Roman" w:hAnsi="Times New Roman" w:cs="Times New Roman"/>
          <w:sz w:val="24"/>
          <w:szCs w:val="24"/>
          <w:lang w:val="en-US"/>
        </w:rPr>
        <w:t xml:space="preserve">) from Brazil. The criteria and weights of each criterion were the same used by the CPC. For the definition of the reference shares defined five intervals proportional to the ranges defined in the classification made by the CPC. The results showed that there was a great change in the classification of the courses: 142 has been modified classification, among these, 135 worsen their ratings. Those that got worse, 48% were allocated to the categories with bad and very bad concept. Comparison of proposed methodology results with the current allowed a different look on the evaluation of undergraduate and observing that the </w:t>
      </w:r>
      <w:proofErr w:type="gramStart"/>
      <w:r w:rsidR="0048138F" w:rsidRPr="0048138F">
        <w:rPr>
          <w:rFonts w:ascii="Times New Roman" w:hAnsi="Times New Roman" w:cs="Times New Roman"/>
          <w:sz w:val="24"/>
          <w:szCs w:val="24"/>
          <w:lang w:val="en-US"/>
        </w:rPr>
        <w:t>performance in the criteria for some courses not justify</w:t>
      </w:r>
      <w:proofErr w:type="gramEnd"/>
      <w:r w:rsidR="0048138F" w:rsidRPr="0048138F">
        <w:rPr>
          <w:rFonts w:ascii="Times New Roman" w:hAnsi="Times New Roman" w:cs="Times New Roman"/>
          <w:sz w:val="24"/>
          <w:szCs w:val="24"/>
          <w:lang w:val="en-US"/>
        </w:rPr>
        <w:t xml:space="preserve"> its current ranking in the CPC. The membership of the methodology, although difficult to change for the worse classification of approximately half of the courses, would benefit and the improvement of the quality of trainers courses in the country math teachers, for the </w:t>
      </w:r>
      <w:r w:rsidR="0048138F" w:rsidRPr="0048138F">
        <w:rPr>
          <w:rFonts w:ascii="Times New Roman" w:hAnsi="Times New Roman" w:cs="Times New Roman"/>
          <w:sz w:val="24"/>
          <w:szCs w:val="24"/>
          <w:lang w:val="en-US"/>
        </w:rPr>
        <w:lastRenderedPageBreak/>
        <w:t>ELECTRE TRI-C was more demanding in qualifying the courses which would force HEIs to improve their performance to achieve better concepts.</w:t>
      </w:r>
      <w:r w:rsidR="0048138F">
        <w:rPr>
          <w:rFonts w:ascii="Times New Roman" w:hAnsi="Times New Roman" w:cs="Times New Roman"/>
          <w:sz w:val="24"/>
          <w:szCs w:val="24"/>
          <w:lang w:val="en-US"/>
        </w:rPr>
        <w:t xml:space="preserve"> </w:t>
      </w:r>
    </w:p>
    <w:p w:rsidR="00A33EB8" w:rsidRPr="00C9773B" w:rsidRDefault="00A33EB8" w:rsidP="001D4DA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 Evaluation of Graduate Courses, </w:t>
      </w:r>
      <w:proofErr w:type="spellStart"/>
      <w:r>
        <w:rPr>
          <w:rFonts w:ascii="Times New Roman" w:hAnsi="Times New Roman" w:cs="Times New Roman"/>
          <w:sz w:val="24"/>
          <w:szCs w:val="24"/>
          <w:lang w:val="en-US"/>
        </w:rPr>
        <w:t>Multicriteria</w:t>
      </w:r>
      <w:proofErr w:type="spellEnd"/>
      <w:r>
        <w:rPr>
          <w:rFonts w:ascii="Times New Roman" w:hAnsi="Times New Roman" w:cs="Times New Roman"/>
          <w:sz w:val="24"/>
          <w:szCs w:val="24"/>
          <w:lang w:val="en-US"/>
        </w:rPr>
        <w:t xml:space="preserve"> Decision Aid, ELECTRE TRI-C. </w:t>
      </w:r>
    </w:p>
    <w:p w:rsidR="00C9773B" w:rsidRPr="00C9773B" w:rsidRDefault="00C9773B" w:rsidP="001D4DAA">
      <w:pPr>
        <w:jc w:val="both"/>
        <w:rPr>
          <w:rFonts w:ascii="Times New Roman" w:hAnsi="Times New Roman" w:cs="Times New Roman"/>
          <w:sz w:val="24"/>
          <w:szCs w:val="24"/>
          <w:lang w:val="en-US"/>
        </w:rPr>
      </w:pPr>
    </w:p>
    <w:p w:rsidR="002F41D0" w:rsidRPr="0001756E" w:rsidRDefault="002F41D0" w:rsidP="005D578D">
      <w:pPr>
        <w:pStyle w:val="Ttulo1"/>
        <w:spacing w:line="360" w:lineRule="auto"/>
        <w:rPr>
          <w:rFonts w:ascii="Times New Roman" w:hAnsi="Times New Roman" w:cs="Times New Roman"/>
          <w:color w:val="auto"/>
          <w:sz w:val="24"/>
          <w:szCs w:val="24"/>
        </w:rPr>
      </w:pPr>
      <w:r w:rsidRPr="0001756E">
        <w:rPr>
          <w:rFonts w:ascii="Times New Roman" w:hAnsi="Times New Roman" w:cs="Times New Roman"/>
          <w:color w:val="auto"/>
          <w:sz w:val="24"/>
          <w:szCs w:val="24"/>
        </w:rPr>
        <w:t>1. INTRODUÇÃO</w:t>
      </w:r>
      <w:bookmarkEnd w:id="0"/>
    </w:p>
    <w:p w:rsidR="007C730C" w:rsidRDefault="007C730C" w:rsidP="007C730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pt-PT"/>
        </w:rPr>
        <w:t>A</w:t>
      </w:r>
      <w:r>
        <w:rPr>
          <w:rFonts w:ascii="Times New Roman" w:hAnsi="Times New Roman" w:cs="Times New Roman"/>
          <w:sz w:val="24"/>
          <w:szCs w:val="24"/>
        </w:rPr>
        <w:t xml:space="preserve"> avaliação institucional é uma </w:t>
      </w:r>
      <w:r w:rsidR="00D84FC9" w:rsidRPr="005D578D">
        <w:rPr>
          <w:rFonts w:ascii="Times New Roman" w:hAnsi="Times New Roman" w:cs="Times New Roman"/>
          <w:sz w:val="24"/>
          <w:szCs w:val="24"/>
        </w:rPr>
        <w:t xml:space="preserve">importante ferramenta </w:t>
      </w:r>
      <w:r>
        <w:rPr>
          <w:rFonts w:ascii="Times New Roman" w:hAnsi="Times New Roman" w:cs="Times New Roman"/>
          <w:sz w:val="24"/>
          <w:szCs w:val="24"/>
        </w:rPr>
        <w:t xml:space="preserve">utilizada </w:t>
      </w:r>
      <w:r w:rsidR="00D84FC9" w:rsidRPr="005D578D">
        <w:rPr>
          <w:rFonts w:ascii="Times New Roman" w:hAnsi="Times New Roman" w:cs="Times New Roman"/>
          <w:sz w:val="24"/>
          <w:szCs w:val="24"/>
        </w:rPr>
        <w:t>para qualificar os cursos e as instituições de ensino superior</w:t>
      </w:r>
      <w:r>
        <w:rPr>
          <w:rFonts w:ascii="Times New Roman" w:hAnsi="Times New Roman" w:cs="Times New Roman"/>
          <w:sz w:val="24"/>
          <w:szCs w:val="24"/>
        </w:rPr>
        <w:t xml:space="preserve"> (IES)</w:t>
      </w:r>
      <w:r w:rsidR="00D84FC9" w:rsidRPr="005D578D">
        <w:rPr>
          <w:rFonts w:ascii="Times New Roman" w:hAnsi="Times New Roman" w:cs="Times New Roman"/>
          <w:sz w:val="24"/>
          <w:szCs w:val="24"/>
        </w:rPr>
        <w:t>, visando uma reflexão sobre a sua realidade buscando uma melhora na qualidade do ens</w:t>
      </w:r>
      <w:r>
        <w:rPr>
          <w:rFonts w:ascii="Times New Roman" w:hAnsi="Times New Roman" w:cs="Times New Roman"/>
          <w:sz w:val="24"/>
          <w:szCs w:val="24"/>
        </w:rPr>
        <w:t xml:space="preserve">ino oferecido (BERTOLIN, 2009). </w:t>
      </w:r>
      <w:r w:rsidR="00D84FC9" w:rsidRPr="005D578D">
        <w:rPr>
          <w:rFonts w:ascii="Times New Roman" w:hAnsi="Times New Roman" w:cs="Times New Roman"/>
          <w:sz w:val="24"/>
          <w:szCs w:val="24"/>
        </w:rPr>
        <w:t>Atualmente, o Ensino Superior brasileiro é avaliado pelo Sistema Nacional de Avaliação da Educação Superior (SINAES) que entrou em vigor através da Lei 10.861 (BRASIL, 2004</w:t>
      </w:r>
      <w:r>
        <w:rPr>
          <w:rFonts w:ascii="Times New Roman" w:hAnsi="Times New Roman" w:cs="Times New Roman"/>
          <w:sz w:val="24"/>
          <w:szCs w:val="24"/>
        </w:rPr>
        <w:t xml:space="preserve">) tendo por objetivo </w:t>
      </w:r>
      <w:r w:rsidR="00D84FC9" w:rsidRPr="005D578D">
        <w:rPr>
          <w:rFonts w:ascii="Times New Roman" w:hAnsi="Times New Roman" w:cs="Times New Roman"/>
          <w:sz w:val="24"/>
          <w:szCs w:val="24"/>
        </w:rPr>
        <w:t>assegurar o processo nacional de avaliação das instituições de educação superior, dos cursos de graduação e do desempenho acadêmico de seus estudantes.</w:t>
      </w:r>
    </w:p>
    <w:p w:rsidR="007C730C" w:rsidRDefault="00D84FC9" w:rsidP="00D84FC9">
      <w:pPr>
        <w:autoSpaceDE w:val="0"/>
        <w:autoSpaceDN w:val="0"/>
        <w:adjustRightInd w:val="0"/>
        <w:spacing w:after="0" w:line="360" w:lineRule="auto"/>
        <w:ind w:firstLine="708"/>
        <w:jc w:val="both"/>
        <w:rPr>
          <w:rFonts w:ascii="Times New Roman" w:hAnsi="Times New Roman" w:cs="Times New Roman"/>
          <w:sz w:val="24"/>
          <w:szCs w:val="24"/>
        </w:rPr>
      </w:pPr>
      <w:r w:rsidRPr="005D578D">
        <w:rPr>
          <w:rFonts w:ascii="Times New Roman" w:hAnsi="Times New Roman" w:cs="Times New Roman"/>
          <w:sz w:val="24"/>
          <w:szCs w:val="24"/>
        </w:rPr>
        <w:t>Dentre os instrumentos avaliativos desenvolvidos pelo SINAES para avaliar o sistema superior brasileiro destaca-se o Conceito Preliminar de Cursos (CPC) que agrega distintas variáveis relacionadas à qualidade dos cursos de graduação visando qualificar os cursos de graduação e as I</w:t>
      </w:r>
      <w:r w:rsidR="007C730C">
        <w:rPr>
          <w:rFonts w:ascii="Times New Roman" w:hAnsi="Times New Roman" w:cs="Times New Roman"/>
          <w:sz w:val="24"/>
          <w:szCs w:val="24"/>
        </w:rPr>
        <w:t xml:space="preserve">ES </w:t>
      </w:r>
      <w:r w:rsidRPr="005D578D">
        <w:rPr>
          <w:rFonts w:ascii="Times New Roman" w:hAnsi="Times New Roman" w:cs="Times New Roman"/>
          <w:sz w:val="24"/>
          <w:szCs w:val="24"/>
        </w:rPr>
        <w:t>(BRASIL, 2011).</w:t>
      </w:r>
      <w:r w:rsidR="00047529">
        <w:rPr>
          <w:rFonts w:ascii="Times New Roman" w:hAnsi="Times New Roman" w:cs="Times New Roman"/>
          <w:sz w:val="24"/>
          <w:szCs w:val="24"/>
        </w:rPr>
        <w:t xml:space="preserve"> </w:t>
      </w:r>
      <w:r w:rsidRPr="005D578D">
        <w:rPr>
          <w:rFonts w:ascii="Times New Roman" w:hAnsi="Times New Roman" w:cs="Times New Roman"/>
          <w:sz w:val="24"/>
          <w:szCs w:val="24"/>
        </w:rPr>
        <w:t>Autores como Pedrosa (201</w:t>
      </w:r>
      <w:r w:rsidR="00451D2E">
        <w:rPr>
          <w:rFonts w:ascii="Times New Roman" w:hAnsi="Times New Roman" w:cs="Times New Roman"/>
          <w:sz w:val="24"/>
          <w:szCs w:val="24"/>
        </w:rPr>
        <w:t>3</w:t>
      </w:r>
      <w:r w:rsidRPr="005D578D">
        <w:rPr>
          <w:rFonts w:ascii="Times New Roman" w:hAnsi="Times New Roman" w:cs="Times New Roman"/>
          <w:sz w:val="24"/>
          <w:szCs w:val="24"/>
        </w:rPr>
        <w:t xml:space="preserve">), </w:t>
      </w:r>
      <w:r w:rsidR="00007917" w:rsidRPr="005D578D">
        <w:rPr>
          <w:rFonts w:ascii="Times New Roman" w:hAnsi="Times New Roman" w:cs="Times New Roman"/>
          <w:sz w:val="24"/>
          <w:szCs w:val="24"/>
        </w:rPr>
        <w:fldChar w:fldCharType="begin"/>
      </w:r>
      <w:r w:rsidRPr="005D578D">
        <w:rPr>
          <w:rFonts w:ascii="Times New Roman" w:hAnsi="Times New Roman" w:cs="Times New Roman"/>
          <w:sz w:val="24"/>
          <w:szCs w:val="24"/>
        </w:rPr>
        <w:instrText xml:space="preserve"> ADDIN ZOTERO_ITEM CSL_CITATION {"citationID":"1mllmhjj2v","properties":{"formattedCitation":"(BITTENCOURT et al., 2010)","plainCitation":"(BITTENCOURT et al., 2010)"},"citationItems":[{"id":66,"uris":["http://zotero.org/users/1567541/items/8PKE8RZK"],"uri":["http://zotero.org/users/1567541/items/8PKE8RZK"],"itemData":{"id":66,"type":"article-journal","title":"Mudanças nos pesos do CPC e seu impacto nos resultados de avaliação em universidades federais e privadas","container-title":"Avaliação: Revista da Avaliação da Educação Superior","page":"147–166","volume":"15","issue":"3","source":"Google Scholar","author":[{"family":"Bittencourt","given":"Helio Radke"},{"family":"Viali","given":"Lorí"},{"family":"Rodrigues","given":"Alziro Cesar de Morais"},{"family":"Casartelli","given":"Alam de Oliveira"}],"issued":{"date-parts":[["2010"]]}}}],"schema":"https://github.com/citation-style-language/schema/raw/master/csl-citation.json"} </w:instrText>
      </w:r>
      <w:r w:rsidR="00007917" w:rsidRPr="005D578D">
        <w:rPr>
          <w:rFonts w:ascii="Times New Roman" w:hAnsi="Times New Roman" w:cs="Times New Roman"/>
          <w:sz w:val="24"/>
          <w:szCs w:val="24"/>
        </w:rPr>
        <w:fldChar w:fldCharType="separate"/>
      </w:r>
      <w:r w:rsidRPr="005D578D">
        <w:rPr>
          <w:rFonts w:ascii="Times New Roman" w:hAnsi="Times New Roman" w:cs="Times New Roman"/>
          <w:sz w:val="24"/>
        </w:rPr>
        <w:t xml:space="preserve">Bittencourt </w:t>
      </w:r>
      <w:r w:rsidRPr="005D578D">
        <w:rPr>
          <w:rFonts w:ascii="Times New Roman" w:hAnsi="Times New Roman" w:cs="Times New Roman"/>
          <w:i/>
          <w:sz w:val="24"/>
        </w:rPr>
        <w:t>et al</w:t>
      </w:r>
      <w:r w:rsidRPr="005D578D">
        <w:rPr>
          <w:rFonts w:ascii="Times New Roman" w:hAnsi="Times New Roman" w:cs="Times New Roman"/>
          <w:sz w:val="24"/>
        </w:rPr>
        <w:t>. (2010)</w:t>
      </w:r>
      <w:r w:rsidR="00007917" w:rsidRPr="005D578D">
        <w:rPr>
          <w:rFonts w:ascii="Times New Roman" w:hAnsi="Times New Roman" w:cs="Times New Roman"/>
          <w:sz w:val="24"/>
          <w:szCs w:val="24"/>
        </w:rPr>
        <w:fldChar w:fldCharType="end"/>
      </w:r>
      <w:r w:rsidRPr="005D578D">
        <w:rPr>
          <w:rFonts w:ascii="Times New Roman" w:hAnsi="Times New Roman" w:cs="Times New Roman"/>
          <w:sz w:val="24"/>
          <w:szCs w:val="24"/>
        </w:rPr>
        <w:t xml:space="preserve">, </w:t>
      </w:r>
      <w:proofErr w:type="spellStart"/>
      <w:r w:rsidRPr="005D578D">
        <w:rPr>
          <w:rFonts w:ascii="Times New Roman" w:hAnsi="Times New Roman" w:cs="Times New Roman"/>
          <w:sz w:val="24"/>
          <w:szCs w:val="24"/>
        </w:rPr>
        <w:t>Schwartzman</w:t>
      </w:r>
      <w:proofErr w:type="spellEnd"/>
      <w:r w:rsidRPr="005D578D">
        <w:rPr>
          <w:rFonts w:ascii="Times New Roman" w:hAnsi="Times New Roman" w:cs="Times New Roman"/>
          <w:sz w:val="24"/>
          <w:szCs w:val="24"/>
        </w:rPr>
        <w:t xml:space="preserve"> (2008), </w:t>
      </w:r>
      <w:proofErr w:type="spellStart"/>
      <w:r w:rsidRPr="005D578D">
        <w:rPr>
          <w:rFonts w:ascii="Times New Roman" w:hAnsi="Times New Roman" w:cs="Times New Roman"/>
          <w:sz w:val="24"/>
          <w:szCs w:val="24"/>
        </w:rPr>
        <w:t>Barreyro&amp;Rothen</w:t>
      </w:r>
      <w:proofErr w:type="spellEnd"/>
      <w:r w:rsidRPr="005D578D">
        <w:rPr>
          <w:rFonts w:ascii="Times New Roman" w:hAnsi="Times New Roman" w:cs="Times New Roman"/>
          <w:sz w:val="24"/>
          <w:szCs w:val="24"/>
        </w:rPr>
        <w:t xml:space="preserve"> (2006) e Dias (2006), </w:t>
      </w:r>
      <w:r w:rsidR="007C730C">
        <w:rPr>
          <w:rFonts w:ascii="Times New Roman" w:hAnsi="Times New Roman" w:cs="Times New Roman"/>
          <w:sz w:val="24"/>
          <w:szCs w:val="24"/>
        </w:rPr>
        <w:t xml:space="preserve">em seus trabalhos </w:t>
      </w:r>
      <w:r w:rsidRPr="005D578D">
        <w:rPr>
          <w:rFonts w:ascii="Times New Roman" w:hAnsi="Times New Roman" w:cs="Times New Roman"/>
          <w:sz w:val="24"/>
          <w:szCs w:val="24"/>
        </w:rPr>
        <w:t>destacam a preocupação com o sistema avaliativo do CPC. A maneira como as notas utilizadas no cálculo do CPC são transformadas e padronizadas</w:t>
      </w:r>
      <w:r w:rsidR="00AD76EB">
        <w:rPr>
          <w:rFonts w:ascii="Times New Roman" w:hAnsi="Times New Roman" w:cs="Times New Roman"/>
          <w:sz w:val="24"/>
          <w:szCs w:val="24"/>
        </w:rPr>
        <w:t xml:space="preserve">, os pesos de cada variável são algumas das </w:t>
      </w:r>
      <w:r w:rsidR="00B44006">
        <w:rPr>
          <w:rFonts w:ascii="Times New Roman" w:hAnsi="Times New Roman" w:cs="Times New Roman"/>
          <w:sz w:val="24"/>
          <w:szCs w:val="24"/>
        </w:rPr>
        <w:t>críticas</w:t>
      </w:r>
      <w:r w:rsidR="00AD76EB">
        <w:rPr>
          <w:rFonts w:ascii="Times New Roman" w:hAnsi="Times New Roman" w:cs="Times New Roman"/>
          <w:sz w:val="24"/>
          <w:szCs w:val="24"/>
        </w:rPr>
        <w:t xml:space="preserve"> feitas ao CPC</w:t>
      </w:r>
      <w:r w:rsidR="007C730C">
        <w:rPr>
          <w:rFonts w:ascii="Times New Roman" w:hAnsi="Times New Roman" w:cs="Times New Roman"/>
          <w:sz w:val="24"/>
          <w:szCs w:val="24"/>
        </w:rPr>
        <w:t>.</w:t>
      </w:r>
    </w:p>
    <w:p w:rsidR="00D84FC9" w:rsidRPr="005D578D" w:rsidRDefault="00D84FC9" w:rsidP="00D84FC9">
      <w:pPr>
        <w:autoSpaceDE w:val="0"/>
        <w:autoSpaceDN w:val="0"/>
        <w:adjustRightInd w:val="0"/>
        <w:spacing w:after="0" w:line="360" w:lineRule="auto"/>
        <w:ind w:firstLine="708"/>
        <w:jc w:val="both"/>
        <w:rPr>
          <w:rFonts w:ascii="Times New Roman" w:hAnsi="Times New Roman" w:cs="Times New Roman"/>
          <w:sz w:val="24"/>
          <w:szCs w:val="24"/>
          <w:lang w:val="pt-PT"/>
        </w:rPr>
      </w:pPr>
      <w:r w:rsidRPr="005D578D">
        <w:rPr>
          <w:rFonts w:ascii="Times New Roman" w:hAnsi="Times New Roman" w:cs="Times New Roman"/>
          <w:sz w:val="24"/>
          <w:szCs w:val="24"/>
          <w:lang w:val="pt-PT"/>
        </w:rPr>
        <w:t>A matemática ocupa lugar essencial nos currículos escolares, porém, observam-se elevadas taxas de reprovação, insucesso, desprazer e frustação na aprendizagem e no ensino desta area do conhecimento (VASCONCELOS,  2009).</w:t>
      </w:r>
      <w:r w:rsidRPr="005D578D">
        <w:rPr>
          <w:rFonts w:ascii="Times New Roman" w:hAnsi="Times New Roman" w:cs="Times New Roman"/>
          <w:sz w:val="24"/>
          <w:szCs w:val="24"/>
        </w:rPr>
        <w:t xml:space="preserve"> Ponte (2002) aponta que há insegurança em relação à qualidade da formação inicial dos cursos de graduação em matemática, especialmente os de licenciatura. A</w:t>
      </w:r>
      <w:r w:rsidRPr="005D578D">
        <w:rPr>
          <w:rFonts w:ascii="Times New Roman" w:hAnsi="Times New Roman" w:cs="Times New Roman"/>
          <w:sz w:val="24"/>
          <w:szCs w:val="24"/>
          <w:lang w:val="pt-PT"/>
        </w:rPr>
        <w:t xml:space="preserve"> preparação dos profissionais neste campo é problemática em todos os níveis de ensino. Um dos fatores relacionados a este insucesso é a qualidade dos cursos que formam estes profissionais. </w:t>
      </w:r>
    </w:p>
    <w:p w:rsidR="00AB7A62" w:rsidRDefault="00AD76EB" w:rsidP="00AB7A62">
      <w:pPr>
        <w:spacing w:line="360" w:lineRule="auto"/>
        <w:ind w:firstLine="708"/>
        <w:jc w:val="both"/>
        <w:rPr>
          <w:rFonts w:ascii="Times New Roman" w:hAnsi="Times New Roman" w:cs="Times New Roman"/>
          <w:sz w:val="24"/>
          <w:szCs w:val="24"/>
        </w:rPr>
      </w:pPr>
      <w:r w:rsidRPr="00AB7A62">
        <w:rPr>
          <w:rFonts w:ascii="Times New Roman" w:hAnsi="Times New Roman" w:cs="Times New Roman"/>
          <w:sz w:val="24"/>
          <w:szCs w:val="24"/>
        </w:rPr>
        <w:t xml:space="preserve">Autores como </w:t>
      </w:r>
      <w:r w:rsidR="00AB7A62" w:rsidRPr="00AB7A62">
        <w:rPr>
          <w:rFonts w:ascii="Times New Roman" w:hAnsi="Times New Roman" w:cs="Times New Roman"/>
          <w:sz w:val="24"/>
          <w:szCs w:val="24"/>
        </w:rPr>
        <w:t xml:space="preserve">Miranda e Almeida (2003) e (2004), </w:t>
      </w:r>
      <w:r w:rsidR="00007917" w:rsidRPr="00AB7A62">
        <w:rPr>
          <w:rFonts w:ascii="Times New Roman" w:hAnsi="Times New Roman" w:cs="Times New Roman"/>
          <w:sz w:val="24"/>
          <w:szCs w:val="24"/>
        </w:rPr>
        <w:fldChar w:fldCharType="begin"/>
      </w:r>
      <w:r w:rsidR="00AB7A62" w:rsidRPr="00AB7A62">
        <w:rPr>
          <w:rFonts w:ascii="Times New Roman" w:hAnsi="Times New Roman" w:cs="Times New Roman"/>
          <w:sz w:val="24"/>
          <w:szCs w:val="24"/>
        </w:rPr>
        <w:instrText xml:space="preserve"> ADDIN ZOTERO_ITEM CSL_CITATION {"citationID":"2c64lnv2h6","properties":{"formattedCitation":"(Neves &amp; Costa, 2006)","plainCitation":"(Neves &amp; Costa, 2006)"},"citationItems":[{"id":250,"uris":["http://zotero.org/users/1567541/items/3ZN7GJQR"],"uri":["http://zotero.org/users/1567541/items/3ZN7GJQR"],"itemData":{"id":250,"type":"article-journal","title":"Avaliação de programas de pós-graduação: proposta baseada na integração ELECTRE TRI, SWOT e sistema CAPES","container-title":"Sistemas &amp; Gestão","page":"276–298","volume":"1","issue":"3","source":"Google Scholar","shortTitle":"Avaliação de programas de pós-graduação","author":[{"family":"Neves","given":"Roberta Braga"},{"family":"Costa","given":"Helder Gomes"}],"issued":{"date-parts":[["2006"]]},"accessed":{"date-parts":[["2014",11,4]]}}}],"schema":"https://github.com/citation-style-language/schema/raw/master/csl-citation.json"} </w:instrText>
      </w:r>
      <w:r w:rsidR="00007917" w:rsidRPr="00AB7A62">
        <w:rPr>
          <w:rFonts w:ascii="Times New Roman" w:hAnsi="Times New Roman" w:cs="Times New Roman"/>
          <w:sz w:val="24"/>
          <w:szCs w:val="24"/>
        </w:rPr>
        <w:fldChar w:fldCharType="separate"/>
      </w:r>
      <w:r w:rsidR="00AB7A62" w:rsidRPr="00AB7A62">
        <w:rPr>
          <w:rFonts w:ascii="Times New Roman" w:hAnsi="Times New Roman" w:cs="Times New Roman"/>
          <w:sz w:val="24"/>
          <w:szCs w:val="24"/>
        </w:rPr>
        <w:t>Neves e Costa (2006)</w:t>
      </w:r>
      <w:r w:rsidR="00007917" w:rsidRPr="00AB7A62">
        <w:rPr>
          <w:rFonts w:ascii="Times New Roman" w:hAnsi="Times New Roman" w:cs="Times New Roman"/>
          <w:sz w:val="24"/>
          <w:szCs w:val="24"/>
        </w:rPr>
        <w:fldChar w:fldCharType="end"/>
      </w:r>
      <w:r w:rsidR="00AB7A62" w:rsidRPr="00AB7A62">
        <w:rPr>
          <w:rFonts w:ascii="Times New Roman" w:hAnsi="Times New Roman" w:cs="Times New Roman"/>
          <w:sz w:val="24"/>
          <w:szCs w:val="24"/>
        </w:rPr>
        <w:t xml:space="preserve">, </w:t>
      </w:r>
      <w:r w:rsidR="00007917" w:rsidRPr="00AB7A62">
        <w:rPr>
          <w:rFonts w:ascii="Times New Roman" w:hAnsi="Times New Roman" w:cs="Times New Roman"/>
          <w:iCs/>
          <w:sz w:val="24"/>
          <w:szCs w:val="24"/>
        </w:rPr>
        <w:fldChar w:fldCharType="begin"/>
      </w:r>
      <w:r w:rsidR="00AB7A62" w:rsidRPr="00AB7A62">
        <w:rPr>
          <w:rFonts w:ascii="Times New Roman" w:hAnsi="Times New Roman" w:cs="Times New Roman"/>
          <w:iCs/>
          <w:sz w:val="24"/>
          <w:szCs w:val="24"/>
        </w:rPr>
        <w:instrText xml:space="preserve"> ADDIN ZOTERO_ITEM CSL_CITATION {"citationID":"2363g2icu8","properties":{"formattedCitation":"(Mazon, Serra, Lima, &amp; Soares, 2010)","plainCitation":"(Mazon, Serra, Lima, &amp; Soares, 2010)"},"citationItems":[{"id":281,"uris":["http://zotero.org/users/1567541/items/9PM9WD3H"],"uri":["http://zotero.org/users/1567541/items/9PM9WD3H"],"itemData":{"id":281,"type":"article-journal","title":"MCDA para avaliar o desempenho de um curso de pós-graduação","container-title":"Revista Pensamento Contemporâneo em Administração","page":"1–11","volume":"4","issue":"3","source":"Google Scholar","author":[{"family":"Mazon","given":"Gisele"},{"family":"Serra","given":"Fernando"},{"family":"Lima","given":"Marcus"},{"family":"Soares","given":"Thiago"}],"issued":{"date-parts":[["2010"]]},"accessed":{"date-parts":[["2014",11,4]]}}}],"schema":"https://github.com/citation-style-language/schema/raw/master/csl-citation.json"} </w:instrText>
      </w:r>
      <w:r w:rsidR="00007917" w:rsidRPr="00AB7A62">
        <w:rPr>
          <w:rFonts w:ascii="Times New Roman" w:hAnsi="Times New Roman" w:cs="Times New Roman"/>
          <w:iCs/>
          <w:sz w:val="24"/>
          <w:szCs w:val="24"/>
        </w:rPr>
        <w:fldChar w:fldCharType="separate"/>
      </w:r>
      <w:r w:rsidR="00AB7A62" w:rsidRPr="00AB7A62">
        <w:rPr>
          <w:rFonts w:ascii="Times New Roman" w:hAnsi="Times New Roman" w:cs="Times New Roman"/>
          <w:iCs/>
          <w:sz w:val="24"/>
          <w:szCs w:val="24"/>
        </w:rPr>
        <w:t>Mazon</w:t>
      </w:r>
      <w:r w:rsidR="00047529">
        <w:rPr>
          <w:rFonts w:ascii="Times New Roman" w:hAnsi="Times New Roman" w:cs="Times New Roman"/>
          <w:iCs/>
          <w:sz w:val="24"/>
          <w:szCs w:val="24"/>
        </w:rPr>
        <w:t xml:space="preserve"> </w:t>
      </w:r>
      <w:r w:rsidR="00AB7A62" w:rsidRPr="00AB7A62">
        <w:rPr>
          <w:rFonts w:ascii="Times New Roman" w:hAnsi="Times New Roman" w:cs="Times New Roman"/>
          <w:i/>
          <w:iCs/>
          <w:sz w:val="24"/>
          <w:szCs w:val="24"/>
        </w:rPr>
        <w:t xml:space="preserve">et al. </w:t>
      </w:r>
      <w:r w:rsidR="00AB7A62" w:rsidRPr="00AB7A62">
        <w:rPr>
          <w:rFonts w:ascii="Times New Roman" w:hAnsi="Times New Roman" w:cs="Times New Roman"/>
          <w:iCs/>
          <w:sz w:val="24"/>
          <w:szCs w:val="24"/>
        </w:rPr>
        <w:t>(2010)</w:t>
      </w:r>
      <w:r w:rsidR="00007917" w:rsidRPr="00AB7A62">
        <w:rPr>
          <w:rFonts w:ascii="Times New Roman" w:hAnsi="Times New Roman" w:cs="Times New Roman"/>
          <w:iCs/>
          <w:sz w:val="24"/>
          <w:szCs w:val="24"/>
        </w:rPr>
        <w:fldChar w:fldCharType="end"/>
      </w:r>
      <w:r w:rsidR="00AB7A62" w:rsidRPr="00AB7A62">
        <w:rPr>
          <w:rFonts w:ascii="Times New Roman" w:hAnsi="Times New Roman" w:cs="Times New Roman"/>
          <w:iCs/>
          <w:sz w:val="24"/>
          <w:szCs w:val="24"/>
        </w:rPr>
        <w:t xml:space="preserve"> utilizaram métodos multicritério, dentre eles o ELECTRE TRI</w:t>
      </w:r>
      <w:r w:rsidR="00190F00">
        <w:rPr>
          <w:rFonts w:ascii="Times New Roman" w:hAnsi="Times New Roman" w:cs="Times New Roman"/>
          <w:iCs/>
          <w:sz w:val="24"/>
          <w:szCs w:val="24"/>
        </w:rPr>
        <w:t>-B</w:t>
      </w:r>
      <w:r w:rsidR="00AB7A62" w:rsidRPr="00AB7A62">
        <w:rPr>
          <w:rFonts w:ascii="Times New Roman" w:hAnsi="Times New Roman" w:cs="Times New Roman"/>
          <w:iCs/>
          <w:sz w:val="24"/>
          <w:szCs w:val="24"/>
        </w:rPr>
        <w:t>,</w:t>
      </w:r>
      <w:r w:rsidR="00190F00">
        <w:rPr>
          <w:rFonts w:ascii="Times New Roman" w:hAnsi="Times New Roman" w:cs="Times New Roman"/>
          <w:iCs/>
          <w:sz w:val="24"/>
          <w:szCs w:val="24"/>
        </w:rPr>
        <w:t xml:space="preserve"> para </w:t>
      </w:r>
      <w:r w:rsidR="00AB7A62" w:rsidRPr="00AB7A62">
        <w:rPr>
          <w:rFonts w:ascii="Times New Roman" w:hAnsi="Times New Roman" w:cs="Times New Roman"/>
          <w:iCs/>
          <w:sz w:val="24"/>
          <w:szCs w:val="24"/>
        </w:rPr>
        <w:t>classificar programas de pós-graduação. Freitas (2006) e (201</w:t>
      </w:r>
      <w:r w:rsidR="00A358D1">
        <w:rPr>
          <w:rFonts w:ascii="Times New Roman" w:hAnsi="Times New Roman" w:cs="Times New Roman"/>
          <w:iCs/>
          <w:sz w:val="24"/>
          <w:szCs w:val="24"/>
        </w:rPr>
        <w:t>4</w:t>
      </w:r>
      <w:r w:rsidR="00AB7A62" w:rsidRPr="00AB7A62">
        <w:rPr>
          <w:rFonts w:ascii="Times New Roman" w:hAnsi="Times New Roman" w:cs="Times New Roman"/>
          <w:iCs/>
          <w:sz w:val="24"/>
          <w:szCs w:val="24"/>
        </w:rPr>
        <w:t xml:space="preserve">) utilizou o método ELECTRE TRI-B para classificar aspectos importantes quanto </w:t>
      </w:r>
      <w:proofErr w:type="gramStart"/>
      <w:r w:rsidR="00AB7A62" w:rsidRPr="00AB7A62">
        <w:rPr>
          <w:rFonts w:ascii="Times New Roman" w:hAnsi="Times New Roman" w:cs="Times New Roman"/>
          <w:iCs/>
          <w:sz w:val="24"/>
          <w:szCs w:val="24"/>
        </w:rPr>
        <w:t>a</w:t>
      </w:r>
      <w:proofErr w:type="gramEnd"/>
      <w:r w:rsidR="00AB7A62" w:rsidRPr="00AB7A62">
        <w:rPr>
          <w:rFonts w:ascii="Times New Roman" w:hAnsi="Times New Roman" w:cs="Times New Roman"/>
          <w:iCs/>
          <w:sz w:val="24"/>
          <w:szCs w:val="24"/>
        </w:rPr>
        <w:t xml:space="preserve"> qualidade da educação em IES </w:t>
      </w:r>
      <w:r w:rsidR="00190F00">
        <w:rPr>
          <w:rFonts w:ascii="Times New Roman" w:hAnsi="Times New Roman" w:cs="Times New Roman"/>
          <w:iCs/>
          <w:sz w:val="24"/>
          <w:szCs w:val="24"/>
        </w:rPr>
        <w:t xml:space="preserve">e Instituições de </w:t>
      </w:r>
      <w:r w:rsidR="00190F00">
        <w:rPr>
          <w:rFonts w:ascii="Times New Roman" w:hAnsi="Times New Roman" w:cs="Times New Roman"/>
          <w:iCs/>
          <w:sz w:val="24"/>
          <w:szCs w:val="24"/>
        </w:rPr>
        <w:lastRenderedPageBreak/>
        <w:t>Ensino Médio</w:t>
      </w:r>
      <w:r w:rsidR="00AB7A62" w:rsidRPr="00AB7A62">
        <w:rPr>
          <w:rFonts w:ascii="Times New Roman" w:hAnsi="Times New Roman" w:cs="Times New Roman"/>
          <w:iCs/>
          <w:sz w:val="24"/>
          <w:szCs w:val="24"/>
        </w:rPr>
        <w:t xml:space="preserve">. </w:t>
      </w:r>
      <w:r w:rsidR="00AB7A62" w:rsidRPr="00AB7A62">
        <w:rPr>
          <w:rFonts w:ascii="Times New Roman" w:hAnsi="Times New Roman" w:cs="Times New Roman"/>
          <w:sz w:val="24"/>
          <w:szCs w:val="24"/>
        </w:rPr>
        <w:t xml:space="preserve">Nas pesquisas realizadas não foi encontrado nenhum trabalho que utilizasse os métodos multicritérios para atenuar algumas das críticas feitas ao CPC. Assim, torna-se pertinente esta abordagem uma vez que, dependendo do método multicritério utilizado, algumas das críticas apontadas podem ser minimizadas. </w:t>
      </w:r>
    </w:p>
    <w:p w:rsidR="00E47E72" w:rsidRDefault="00190F00" w:rsidP="00190F00">
      <w:pPr>
        <w:autoSpaceDE w:val="0"/>
        <w:autoSpaceDN w:val="0"/>
        <w:adjustRightInd w:val="0"/>
        <w:spacing w:after="0" w:line="360" w:lineRule="auto"/>
        <w:ind w:firstLine="708"/>
        <w:jc w:val="both"/>
        <w:rPr>
          <w:rFonts w:ascii="Times New Roman" w:hAnsi="Times New Roman" w:cs="Times New Roman"/>
          <w:sz w:val="24"/>
          <w:szCs w:val="24"/>
        </w:rPr>
      </w:pPr>
      <w:r w:rsidRPr="00DD1295">
        <w:rPr>
          <w:rFonts w:ascii="Times New Roman" w:hAnsi="Times New Roman" w:cs="Times New Roman"/>
          <w:sz w:val="24"/>
          <w:szCs w:val="24"/>
        </w:rPr>
        <w:t xml:space="preserve">Diante das críticas ao atual CPC e também da baixa qualidade dos </w:t>
      </w:r>
      <w:r>
        <w:rPr>
          <w:rFonts w:ascii="Times New Roman" w:hAnsi="Times New Roman" w:cs="Times New Roman"/>
          <w:sz w:val="24"/>
          <w:szCs w:val="24"/>
        </w:rPr>
        <w:t>professores de matemática</w:t>
      </w:r>
      <w:r w:rsidRPr="00DD1295">
        <w:rPr>
          <w:rFonts w:ascii="Times New Roman" w:hAnsi="Times New Roman" w:cs="Times New Roman"/>
          <w:sz w:val="24"/>
          <w:szCs w:val="24"/>
        </w:rPr>
        <w:t xml:space="preserve">, surge </w:t>
      </w:r>
      <w:proofErr w:type="gramStart"/>
      <w:r w:rsidRPr="00DD1295">
        <w:rPr>
          <w:rFonts w:ascii="Times New Roman" w:hAnsi="Times New Roman" w:cs="Times New Roman"/>
          <w:sz w:val="24"/>
          <w:szCs w:val="24"/>
        </w:rPr>
        <w:t>a</w:t>
      </w:r>
      <w:proofErr w:type="gramEnd"/>
      <w:r w:rsidRPr="00DD1295">
        <w:rPr>
          <w:rFonts w:ascii="Times New Roman" w:hAnsi="Times New Roman" w:cs="Times New Roman"/>
          <w:sz w:val="24"/>
          <w:szCs w:val="24"/>
        </w:rPr>
        <w:t xml:space="preserve"> necessidade de se reavaliar a metodologia atualmente utilizada</w:t>
      </w:r>
      <w:r>
        <w:rPr>
          <w:rFonts w:ascii="Times New Roman" w:hAnsi="Times New Roman" w:cs="Times New Roman"/>
          <w:sz w:val="24"/>
          <w:szCs w:val="24"/>
        </w:rPr>
        <w:t xml:space="preserve"> para qualificar esses cursos de graduação</w:t>
      </w:r>
      <w:r w:rsidRPr="00DD1295">
        <w:rPr>
          <w:rFonts w:ascii="Times New Roman" w:hAnsi="Times New Roman" w:cs="Times New Roman"/>
          <w:sz w:val="24"/>
          <w:szCs w:val="24"/>
        </w:rPr>
        <w:t xml:space="preserve">. </w:t>
      </w:r>
      <w:r>
        <w:rPr>
          <w:rFonts w:ascii="Times New Roman" w:hAnsi="Times New Roman" w:cs="Times New Roman"/>
          <w:sz w:val="24"/>
          <w:szCs w:val="24"/>
        </w:rPr>
        <w:t xml:space="preserve">Assim, o presente trabalho tem por objetivo </w:t>
      </w:r>
      <w:r w:rsidRPr="00EB54E1">
        <w:rPr>
          <w:rFonts w:ascii="Times New Roman" w:hAnsi="Times New Roman" w:cs="Times New Roman"/>
          <w:sz w:val="24"/>
          <w:szCs w:val="24"/>
        </w:rPr>
        <w:t xml:space="preserve">desenvolver uma nova metodologia para avaliar e classificar a qualidade dos cursos </w:t>
      </w:r>
      <w:r>
        <w:rPr>
          <w:rFonts w:ascii="Times New Roman" w:hAnsi="Times New Roman" w:cs="Times New Roman"/>
          <w:sz w:val="24"/>
          <w:szCs w:val="24"/>
        </w:rPr>
        <w:t>licenciatura em matemática</w:t>
      </w:r>
      <w:r w:rsidRPr="00EB54E1">
        <w:rPr>
          <w:rFonts w:ascii="Times New Roman" w:hAnsi="Times New Roman" w:cs="Times New Roman"/>
          <w:sz w:val="24"/>
          <w:szCs w:val="24"/>
        </w:rPr>
        <w:t xml:space="preserve"> das Instituições de Ensino Superior (IES) no Brasil baseado em um método multicritério de apoio à tomada de decisão.</w:t>
      </w:r>
      <w:r w:rsidR="00047529">
        <w:rPr>
          <w:rFonts w:ascii="Times New Roman" w:hAnsi="Times New Roman" w:cs="Times New Roman"/>
          <w:sz w:val="24"/>
          <w:szCs w:val="24"/>
        </w:rPr>
        <w:t xml:space="preserve"> </w:t>
      </w:r>
      <w:r w:rsidRPr="00D84FC9">
        <w:rPr>
          <w:rFonts w:ascii="Times New Roman" w:hAnsi="Times New Roman" w:cs="Times New Roman"/>
          <w:sz w:val="24"/>
          <w:szCs w:val="24"/>
        </w:rPr>
        <w:t>O ELECTRE TRI-C é um método multicritério, não compensatório recomendado para problemas de classificação ordenada de alternativas.</w:t>
      </w:r>
    </w:p>
    <w:p w:rsidR="00190F00" w:rsidRPr="005D578D" w:rsidRDefault="00190F00" w:rsidP="00190F00">
      <w:pPr>
        <w:autoSpaceDE w:val="0"/>
        <w:autoSpaceDN w:val="0"/>
        <w:adjustRightInd w:val="0"/>
        <w:spacing w:after="0" w:line="360" w:lineRule="auto"/>
        <w:ind w:firstLine="708"/>
        <w:jc w:val="both"/>
        <w:rPr>
          <w:rFonts w:ascii="Times New Roman" w:hAnsi="Times New Roman" w:cs="Times New Roman"/>
          <w:sz w:val="24"/>
          <w:szCs w:val="24"/>
        </w:rPr>
      </w:pPr>
    </w:p>
    <w:p w:rsidR="00D84FC9" w:rsidRDefault="00D84FC9" w:rsidP="00D84FC9">
      <w:pPr>
        <w:spacing w:line="360" w:lineRule="auto"/>
        <w:jc w:val="both"/>
        <w:outlineLvl w:val="1"/>
        <w:rPr>
          <w:rFonts w:ascii="Times New Roman" w:hAnsi="Times New Roman" w:cs="Times New Roman"/>
          <w:b/>
          <w:sz w:val="24"/>
          <w:szCs w:val="24"/>
        </w:rPr>
      </w:pPr>
      <w:bookmarkStart w:id="1" w:name="_Toc421988003"/>
      <w:bookmarkStart w:id="2" w:name="_Toc422125420"/>
      <w:r>
        <w:rPr>
          <w:rFonts w:ascii="Times New Roman" w:hAnsi="Times New Roman" w:cs="Times New Roman"/>
          <w:b/>
          <w:sz w:val="24"/>
          <w:szCs w:val="24"/>
        </w:rPr>
        <w:t xml:space="preserve">2. </w:t>
      </w:r>
      <w:r w:rsidR="008A7F90">
        <w:rPr>
          <w:rFonts w:ascii="Times New Roman" w:hAnsi="Times New Roman" w:cs="Times New Roman"/>
          <w:b/>
          <w:sz w:val="24"/>
          <w:szCs w:val="24"/>
        </w:rPr>
        <w:t>O</w:t>
      </w:r>
      <w:r w:rsidRPr="00C93707">
        <w:rPr>
          <w:rFonts w:ascii="Times New Roman" w:hAnsi="Times New Roman" w:cs="Times New Roman"/>
          <w:b/>
          <w:sz w:val="24"/>
          <w:szCs w:val="24"/>
        </w:rPr>
        <w:t xml:space="preserve"> Sistema Nacional de Avaliação da Educação Superior (SINAES)</w:t>
      </w:r>
      <w:r w:rsidR="008A7F90">
        <w:rPr>
          <w:rFonts w:ascii="Times New Roman" w:hAnsi="Times New Roman" w:cs="Times New Roman"/>
          <w:b/>
          <w:sz w:val="24"/>
          <w:szCs w:val="24"/>
        </w:rPr>
        <w:t xml:space="preserve"> e seu processo de avaliação</w:t>
      </w:r>
    </w:p>
    <w:p w:rsidR="00D84FC9" w:rsidRPr="0036377F" w:rsidRDefault="00E44134" w:rsidP="0004752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D84FC9" w:rsidRPr="0036377F">
        <w:rPr>
          <w:rFonts w:ascii="Times New Roman" w:hAnsi="Times New Roman" w:cs="Times New Roman"/>
          <w:sz w:val="24"/>
          <w:szCs w:val="24"/>
        </w:rPr>
        <w:t xml:space="preserve"> Sistema Nacional de Avaliaçã</w:t>
      </w:r>
      <w:r>
        <w:rPr>
          <w:rFonts w:ascii="Times New Roman" w:hAnsi="Times New Roman" w:cs="Times New Roman"/>
          <w:sz w:val="24"/>
          <w:szCs w:val="24"/>
        </w:rPr>
        <w:t>o da Educação Superior (SINAES) passou a vigorar</w:t>
      </w:r>
      <w:r w:rsidR="00D84FC9" w:rsidRPr="0036377F">
        <w:rPr>
          <w:rFonts w:ascii="Times New Roman" w:hAnsi="Times New Roman" w:cs="Times New Roman"/>
          <w:sz w:val="24"/>
          <w:szCs w:val="24"/>
        </w:rPr>
        <w:t xml:space="preserve"> a partir de </w:t>
      </w:r>
      <w:r>
        <w:rPr>
          <w:rFonts w:ascii="Times New Roman" w:hAnsi="Times New Roman" w:cs="Times New Roman"/>
          <w:sz w:val="24"/>
          <w:szCs w:val="24"/>
        </w:rPr>
        <w:t>2004,</w:t>
      </w:r>
      <w:r w:rsidR="00D84FC9" w:rsidRPr="0036377F">
        <w:rPr>
          <w:rFonts w:ascii="Times New Roman" w:hAnsi="Times New Roman" w:cs="Times New Roman"/>
          <w:sz w:val="24"/>
          <w:szCs w:val="24"/>
        </w:rPr>
        <w:t xml:space="preserve"> através</w:t>
      </w:r>
      <w:r w:rsidR="00D84FC9">
        <w:rPr>
          <w:rFonts w:ascii="Times New Roman" w:hAnsi="Times New Roman" w:cs="Times New Roman"/>
          <w:sz w:val="24"/>
          <w:szCs w:val="24"/>
        </w:rPr>
        <w:t xml:space="preserve"> da Lei n. 10.861 (Brasil, 2004</w:t>
      </w:r>
      <w:r w:rsidR="00D84FC9" w:rsidRPr="0036377F">
        <w:rPr>
          <w:rFonts w:ascii="Times New Roman" w:hAnsi="Times New Roman" w:cs="Times New Roman"/>
          <w:sz w:val="24"/>
          <w:szCs w:val="24"/>
        </w:rPr>
        <w:t xml:space="preserve">). </w:t>
      </w:r>
      <w:r w:rsidR="009D6F94">
        <w:rPr>
          <w:rFonts w:ascii="Times New Roman" w:eastAsiaTheme="minorEastAsia" w:hAnsi="Times New Roman" w:cs="Times New Roman"/>
          <w:sz w:val="24"/>
          <w:szCs w:val="24"/>
        </w:rPr>
        <w:t>Integram</w:t>
      </w:r>
      <w:r w:rsidR="00D84FC9" w:rsidRPr="0036377F">
        <w:rPr>
          <w:rFonts w:ascii="Times New Roman" w:eastAsiaTheme="minorEastAsia" w:hAnsi="Times New Roman" w:cs="Times New Roman"/>
          <w:sz w:val="24"/>
          <w:szCs w:val="24"/>
        </w:rPr>
        <w:t xml:space="preserve"> o SINAES três modalidades principais de instrumentos de avaliação, que são aplicados em momentos distintos:</w:t>
      </w:r>
      <w:r w:rsidR="00D84FC9">
        <w:rPr>
          <w:rFonts w:ascii="Times New Roman" w:eastAsiaTheme="minorEastAsia" w:hAnsi="Times New Roman" w:cs="Times New Roman"/>
          <w:sz w:val="24"/>
          <w:szCs w:val="24"/>
        </w:rPr>
        <w:t xml:space="preserve"> o primeiro é a </w:t>
      </w:r>
      <w:r w:rsidR="00D84FC9" w:rsidRPr="0036377F">
        <w:rPr>
          <w:rFonts w:ascii="Times New Roman" w:hAnsi="Times New Roman" w:cs="Times New Roman"/>
          <w:sz w:val="24"/>
          <w:szCs w:val="24"/>
        </w:rPr>
        <w:t>Avaliação das Instituições de Educação Superior (AVALIES);</w:t>
      </w:r>
      <w:r w:rsidR="00D84FC9">
        <w:rPr>
          <w:rFonts w:ascii="Times New Roman" w:hAnsi="Times New Roman" w:cs="Times New Roman"/>
          <w:sz w:val="24"/>
          <w:szCs w:val="24"/>
        </w:rPr>
        <w:t xml:space="preserve"> posteriormente vem a </w:t>
      </w:r>
      <w:r w:rsidR="00D84FC9" w:rsidRPr="0036377F">
        <w:rPr>
          <w:rFonts w:ascii="Times New Roman" w:hAnsi="Times New Roman" w:cs="Times New Roman"/>
          <w:sz w:val="24"/>
          <w:szCs w:val="24"/>
        </w:rPr>
        <w:t>Avaliação dos Cursos de Graduação (ACG);</w:t>
      </w:r>
      <w:r w:rsidR="00D84FC9">
        <w:rPr>
          <w:rFonts w:ascii="Times New Roman" w:hAnsi="Times New Roman" w:cs="Times New Roman"/>
          <w:sz w:val="24"/>
          <w:szCs w:val="24"/>
        </w:rPr>
        <w:t xml:space="preserve"> e por fim a </w:t>
      </w:r>
      <w:r w:rsidR="00D84FC9" w:rsidRPr="0036377F">
        <w:rPr>
          <w:rFonts w:ascii="Times New Roman" w:hAnsi="Times New Roman" w:cs="Times New Roman"/>
          <w:sz w:val="24"/>
          <w:szCs w:val="24"/>
        </w:rPr>
        <w:t>Avaliação do Desempenho dos Estudantes (ENADE).</w:t>
      </w:r>
    </w:p>
    <w:p w:rsidR="00D84FC9" w:rsidRDefault="00D84FC9" w:rsidP="00D84FC9">
      <w:pPr>
        <w:spacing w:line="360" w:lineRule="auto"/>
        <w:ind w:firstLine="708"/>
        <w:jc w:val="both"/>
        <w:rPr>
          <w:rFonts w:ascii="Times New Roman" w:hAnsi="Times New Roman" w:cs="Times New Roman"/>
          <w:color w:val="000000"/>
          <w:sz w:val="24"/>
          <w:szCs w:val="24"/>
        </w:rPr>
      </w:pPr>
      <w:r w:rsidRPr="0036377F">
        <w:rPr>
          <w:rFonts w:ascii="Times New Roman" w:hAnsi="Times New Roman" w:cs="Times New Roman"/>
          <w:color w:val="000000"/>
          <w:sz w:val="24"/>
          <w:szCs w:val="24"/>
        </w:rPr>
        <w:t>O principal instrumento avaliativo é o ENADE que objetiva aferir o desempenho dos estudantes em relação aos conteúdos programáticos previstos nas diretrizes curriculares do respectivo curso de graduação, suas habilidades para ajustamento às exigências decorrentes da evolução do conhecimento e suas competências para compreender temas exteriores ao âmbito específico de sua profissão, ligados à realidade brasileira e mundial e a outras áreas do conhecimento (QUEIROZ, 2011).</w:t>
      </w:r>
    </w:p>
    <w:p w:rsidR="00987E26" w:rsidRPr="00987E26" w:rsidRDefault="00E44134" w:rsidP="00D84FC9">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O atual processo de avaliação dos cursos de graduação e IES são operacionalizados pelo INEP que e</w:t>
      </w:r>
      <w:r w:rsidR="00987E26" w:rsidRPr="00987E26">
        <w:rPr>
          <w:rFonts w:ascii="Times New Roman" w:hAnsi="Times New Roman" w:cs="Times New Roman"/>
          <w:color w:val="000000"/>
          <w:sz w:val="24"/>
          <w:szCs w:val="24"/>
        </w:rPr>
        <w:t>m 2008</w:t>
      </w:r>
      <w:r w:rsidR="00047529">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pt-BR"/>
        </w:rPr>
        <w:t>através da</w:t>
      </w:r>
      <w:r w:rsidR="00987E26" w:rsidRPr="00987E26">
        <w:rPr>
          <w:rFonts w:ascii="Times New Roman" w:eastAsia="Times New Roman" w:hAnsi="Times New Roman" w:cs="Times New Roman"/>
          <w:sz w:val="24"/>
          <w:szCs w:val="24"/>
          <w:lang w:eastAsia="pt-BR"/>
        </w:rPr>
        <w:t xml:space="preserve"> Portaria Normativa nº 40 de 12 de dezembro de 2007, </w:t>
      </w:r>
      <w:proofErr w:type="gramStart"/>
      <w:r w:rsidR="00987E26" w:rsidRPr="00987E26">
        <w:rPr>
          <w:rFonts w:ascii="Times New Roman" w:eastAsia="Times New Roman" w:hAnsi="Times New Roman" w:cs="Times New Roman"/>
          <w:sz w:val="24"/>
          <w:szCs w:val="24"/>
          <w:lang w:eastAsia="pt-BR"/>
        </w:rPr>
        <w:t>defin</w:t>
      </w:r>
      <w:r w:rsidR="00987E26">
        <w:rPr>
          <w:rFonts w:ascii="Times New Roman" w:eastAsia="Times New Roman" w:hAnsi="Times New Roman" w:cs="Times New Roman"/>
          <w:sz w:val="24"/>
          <w:szCs w:val="24"/>
          <w:lang w:eastAsia="pt-BR"/>
        </w:rPr>
        <w:t>iu</w:t>
      </w:r>
      <w:proofErr w:type="gramEnd"/>
      <w:r w:rsidR="00987E26" w:rsidRPr="00987E26">
        <w:rPr>
          <w:rFonts w:ascii="Times New Roman" w:eastAsia="Times New Roman" w:hAnsi="Times New Roman" w:cs="Times New Roman"/>
          <w:sz w:val="24"/>
          <w:szCs w:val="24"/>
          <w:lang w:eastAsia="pt-BR"/>
        </w:rPr>
        <w:t xml:space="preserve"> os</w:t>
      </w:r>
      <w:r>
        <w:rPr>
          <w:rFonts w:ascii="Times New Roman" w:eastAsia="Times New Roman" w:hAnsi="Times New Roman" w:cs="Times New Roman"/>
          <w:sz w:val="24"/>
          <w:szCs w:val="24"/>
          <w:lang w:eastAsia="pt-BR"/>
        </w:rPr>
        <w:t xml:space="preserve"> seguintes</w:t>
      </w:r>
      <w:r w:rsidR="00987E26" w:rsidRPr="00987E26">
        <w:rPr>
          <w:rFonts w:ascii="Times New Roman" w:eastAsia="Times New Roman" w:hAnsi="Times New Roman" w:cs="Times New Roman"/>
          <w:sz w:val="24"/>
          <w:szCs w:val="24"/>
          <w:lang w:eastAsia="pt-BR"/>
        </w:rPr>
        <w:t xml:space="preserve"> indicadores de qualidade do ensino superior</w:t>
      </w:r>
      <w:r>
        <w:rPr>
          <w:rFonts w:ascii="Times New Roman" w:eastAsia="Times New Roman" w:hAnsi="Times New Roman" w:cs="Times New Roman"/>
          <w:sz w:val="24"/>
          <w:szCs w:val="24"/>
          <w:lang w:eastAsia="pt-BR"/>
        </w:rPr>
        <w:t>:</w:t>
      </w:r>
      <w:r w:rsidR="00987E26">
        <w:rPr>
          <w:rFonts w:ascii="Times New Roman" w:eastAsia="Times New Roman" w:hAnsi="Times New Roman" w:cs="Times New Roman"/>
          <w:sz w:val="24"/>
          <w:szCs w:val="24"/>
          <w:lang w:eastAsia="pt-BR"/>
        </w:rPr>
        <w:t xml:space="preserve"> o Conceito Preliminar de Cursos (CPC)</w:t>
      </w:r>
      <w:r>
        <w:rPr>
          <w:rFonts w:ascii="Times New Roman" w:eastAsia="Times New Roman" w:hAnsi="Times New Roman" w:cs="Times New Roman"/>
          <w:sz w:val="24"/>
          <w:szCs w:val="24"/>
          <w:lang w:eastAsia="pt-BR"/>
        </w:rPr>
        <w:t>, associado a qualidade dos cursos de graduação</w:t>
      </w:r>
      <w:r w:rsidR="00987E26">
        <w:rPr>
          <w:rFonts w:ascii="Times New Roman" w:eastAsia="Times New Roman" w:hAnsi="Times New Roman" w:cs="Times New Roman"/>
          <w:sz w:val="24"/>
          <w:szCs w:val="24"/>
          <w:lang w:eastAsia="pt-BR"/>
        </w:rPr>
        <w:t xml:space="preserve"> e o Índice Geral de Cursos (IGC)</w:t>
      </w:r>
      <w:r>
        <w:rPr>
          <w:rFonts w:ascii="Times New Roman" w:eastAsia="Times New Roman" w:hAnsi="Times New Roman" w:cs="Times New Roman"/>
          <w:sz w:val="24"/>
          <w:szCs w:val="24"/>
          <w:lang w:eastAsia="pt-BR"/>
        </w:rPr>
        <w:t>, associado a qualidade das IES</w:t>
      </w:r>
      <w:r w:rsidR="00987E2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 avaliação tem periodicidade trienal, ou seja, a cada </w:t>
      </w:r>
      <w:r>
        <w:rPr>
          <w:rFonts w:ascii="Times New Roman" w:eastAsia="Times New Roman" w:hAnsi="Times New Roman" w:cs="Times New Roman"/>
          <w:sz w:val="24"/>
          <w:szCs w:val="24"/>
          <w:lang w:eastAsia="pt-BR"/>
        </w:rPr>
        <w:lastRenderedPageBreak/>
        <w:t>três anos eles voltam a ser avaliados.</w:t>
      </w:r>
      <w:r w:rsidR="00D40BCB">
        <w:rPr>
          <w:rFonts w:ascii="Times New Roman" w:eastAsia="Times New Roman" w:hAnsi="Times New Roman" w:cs="Times New Roman"/>
          <w:sz w:val="24"/>
          <w:szCs w:val="24"/>
          <w:lang w:eastAsia="pt-BR"/>
        </w:rPr>
        <w:t xml:space="preserve"> Assim, o triênio de avaliação dos cursos de licenciatura em matemática serão os anos 2009-2011, que é o triênio com os últimos dados disponíveis dos cursos. Os dados do triênio 2012-2014 ainda não haviam sido disponibilizados pelo INEP.</w:t>
      </w:r>
    </w:p>
    <w:bookmarkEnd w:id="1"/>
    <w:bookmarkEnd w:id="2"/>
    <w:p w:rsidR="000E23AB" w:rsidRDefault="000E23AB" w:rsidP="000541ED">
      <w:pPr>
        <w:spacing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w:t>
      </w:r>
      <w:r w:rsidR="000541ED" w:rsidRPr="0062115F">
        <w:rPr>
          <w:rFonts w:ascii="Times New Roman" w:hAnsi="Times New Roman" w:cs="Times New Roman"/>
          <w:sz w:val="24"/>
          <w:szCs w:val="24"/>
        </w:rPr>
        <w:t xml:space="preserve"> CPC é o indicador de qualidade dos cursos de graduação. É gerado a partir de informações lançadas por instituições ou cursos no Censo da Educação Superior, pelo</w:t>
      </w:r>
      <w:r w:rsidR="000541ED" w:rsidRPr="0062115F">
        <w:rPr>
          <w:rFonts w:ascii="Times New Roman" w:eastAsia="Times New Roman" w:hAnsi="Times New Roman" w:cs="Times New Roman"/>
          <w:sz w:val="24"/>
          <w:szCs w:val="24"/>
          <w:lang w:eastAsia="pt-BR"/>
        </w:rPr>
        <w:t xml:space="preserve"> resultado do Exame Nacional de Estudantes (ENADE) e pelos cadastros próprios do </w:t>
      </w:r>
      <w:proofErr w:type="gramStart"/>
      <w:r w:rsidR="000541ED" w:rsidRPr="0062115F">
        <w:rPr>
          <w:rFonts w:ascii="Times New Roman" w:eastAsia="Times New Roman" w:hAnsi="Times New Roman" w:cs="Times New Roman"/>
          <w:sz w:val="24"/>
          <w:szCs w:val="24"/>
          <w:lang w:eastAsia="pt-BR"/>
        </w:rPr>
        <w:t>INEP.</w:t>
      </w:r>
      <w:proofErr w:type="gramEnd"/>
      <w:r w:rsidR="00D40BCB">
        <w:rPr>
          <w:rFonts w:ascii="Times New Roman" w:eastAsia="Times New Roman" w:hAnsi="Times New Roman" w:cs="Times New Roman"/>
          <w:sz w:val="24"/>
          <w:szCs w:val="24"/>
          <w:lang w:eastAsia="pt-BR"/>
        </w:rPr>
        <w:t>Os aspectos considerados na avaliação dos cursos de graduação e seus respectivos pesos encontram-se na tabela</w:t>
      </w:r>
      <w:r w:rsidR="0046311F">
        <w:rPr>
          <w:rFonts w:ascii="Times New Roman" w:eastAsia="Times New Roman" w:hAnsi="Times New Roman" w:cs="Times New Roman"/>
          <w:sz w:val="24"/>
          <w:szCs w:val="24"/>
          <w:lang w:eastAsia="pt-BR"/>
        </w:rPr>
        <w:t xml:space="preserve"> 1</w:t>
      </w:r>
      <w:r w:rsidR="00D40BCB">
        <w:rPr>
          <w:rFonts w:ascii="Times New Roman" w:eastAsia="Times New Roman" w:hAnsi="Times New Roman" w:cs="Times New Roman"/>
          <w:sz w:val="24"/>
          <w:szCs w:val="24"/>
          <w:lang w:eastAsia="pt-BR"/>
        </w:rPr>
        <w:t>.</w:t>
      </w:r>
    </w:p>
    <w:p w:rsidR="00D40BCB" w:rsidRPr="0034299C" w:rsidRDefault="00D40BCB" w:rsidP="00D40BCB">
      <w:pPr>
        <w:pStyle w:val="Legenda"/>
        <w:spacing w:line="360" w:lineRule="auto"/>
        <w:jc w:val="center"/>
        <w:rPr>
          <w:rFonts w:ascii="Times New Roman" w:hAnsi="Times New Roman" w:cs="Times New Roman"/>
          <w:b w:val="0"/>
          <w:color w:val="auto"/>
          <w:sz w:val="22"/>
          <w:szCs w:val="22"/>
        </w:rPr>
      </w:pPr>
      <w:bookmarkStart w:id="3" w:name="_Toc412416030"/>
      <w:bookmarkStart w:id="4" w:name="_Toc413007765"/>
      <w:r w:rsidRPr="0034299C">
        <w:rPr>
          <w:rFonts w:ascii="Times New Roman" w:hAnsi="Times New Roman" w:cs="Times New Roman"/>
          <w:b w:val="0"/>
          <w:color w:val="auto"/>
          <w:sz w:val="22"/>
          <w:szCs w:val="22"/>
        </w:rPr>
        <w:t>Tabela 1- Critérios e seus respectivos pesos utilizados no trabalho.</w:t>
      </w:r>
      <w:bookmarkEnd w:id="3"/>
      <w:bookmarkEnd w:id="4"/>
    </w:p>
    <w:tbl>
      <w:tblPr>
        <w:tblStyle w:val="SombreamentoClaro1"/>
        <w:tblW w:w="0" w:type="auto"/>
        <w:jc w:val="center"/>
        <w:tblInd w:w="1101" w:type="dxa"/>
        <w:tblLook w:val="04A0" w:firstRow="1" w:lastRow="0" w:firstColumn="1" w:lastColumn="0" w:noHBand="0" w:noVBand="1"/>
      </w:tblPr>
      <w:tblGrid>
        <w:gridCol w:w="1922"/>
        <w:gridCol w:w="3608"/>
        <w:gridCol w:w="2089"/>
      </w:tblGrid>
      <w:tr w:rsidR="00D40BCB" w:rsidRPr="0034299C" w:rsidTr="00D34C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Representação dos critérios</w:t>
            </w:r>
          </w:p>
        </w:tc>
        <w:tc>
          <w:tcPr>
            <w:tcW w:w="3608" w:type="dxa"/>
            <w:shd w:val="clear" w:color="auto" w:fill="auto"/>
            <w:vAlign w:val="center"/>
          </w:tcPr>
          <w:p w:rsidR="00D40BCB" w:rsidRPr="0034299C" w:rsidRDefault="00D40BCB" w:rsidP="00D34C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Critérios</w:t>
            </w:r>
          </w:p>
        </w:tc>
        <w:tc>
          <w:tcPr>
            <w:tcW w:w="2089" w:type="dxa"/>
            <w:shd w:val="clear" w:color="auto" w:fill="auto"/>
            <w:vAlign w:val="center"/>
          </w:tcPr>
          <w:p w:rsidR="00D40BCB" w:rsidRPr="0034299C" w:rsidRDefault="00D40BCB" w:rsidP="00D34C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Peso</w:t>
            </w:r>
          </w:p>
        </w:tc>
      </w:tr>
      <w:tr w:rsidR="00D40BCB" w:rsidRPr="0034299C" w:rsidTr="00D34C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Cr1</w:t>
            </w:r>
          </w:p>
        </w:tc>
        <w:tc>
          <w:tcPr>
            <w:tcW w:w="3608"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Conhecimento Geral-ENADE</w:t>
            </w:r>
          </w:p>
        </w:tc>
        <w:tc>
          <w:tcPr>
            <w:tcW w:w="2089"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0,05</w:t>
            </w:r>
          </w:p>
        </w:tc>
      </w:tr>
      <w:tr w:rsidR="00D40BCB" w:rsidRPr="0034299C" w:rsidTr="00D34C88">
        <w:trPr>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Cr2</w:t>
            </w:r>
          </w:p>
        </w:tc>
        <w:tc>
          <w:tcPr>
            <w:tcW w:w="3608"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Conhecimento Específico- ENADE</w:t>
            </w:r>
          </w:p>
        </w:tc>
        <w:tc>
          <w:tcPr>
            <w:tcW w:w="2089"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0,15</w:t>
            </w:r>
          </w:p>
        </w:tc>
      </w:tr>
      <w:tr w:rsidR="00D40BCB" w:rsidRPr="0034299C" w:rsidTr="00D34C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Cr3</w:t>
            </w:r>
          </w:p>
        </w:tc>
        <w:tc>
          <w:tcPr>
            <w:tcW w:w="3608"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IDD</w:t>
            </w:r>
          </w:p>
        </w:tc>
        <w:tc>
          <w:tcPr>
            <w:tcW w:w="2089"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0,35</w:t>
            </w:r>
          </w:p>
        </w:tc>
      </w:tr>
      <w:tr w:rsidR="00D40BCB" w:rsidRPr="0034299C" w:rsidTr="00D34C88">
        <w:trPr>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Cr4</w:t>
            </w:r>
          </w:p>
        </w:tc>
        <w:tc>
          <w:tcPr>
            <w:tcW w:w="3608"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Proporção de Resposta sobre Infraestrutura</w:t>
            </w:r>
          </w:p>
        </w:tc>
        <w:tc>
          <w:tcPr>
            <w:tcW w:w="2089"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0,075</w:t>
            </w:r>
          </w:p>
        </w:tc>
      </w:tr>
      <w:tr w:rsidR="00D40BCB" w:rsidRPr="0034299C" w:rsidTr="00D34C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Cr5</w:t>
            </w:r>
          </w:p>
        </w:tc>
        <w:tc>
          <w:tcPr>
            <w:tcW w:w="3608"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Proporção de Resposta sobre Plano de Ensino</w:t>
            </w:r>
          </w:p>
        </w:tc>
        <w:tc>
          <w:tcPr>
            <w:tcW w:w="2089"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0,075</w:t>
            </w:r>
          </w:p>
        </w:tc>
      </w:tr>
      <w:tr w:rsidR="00D40BCB" w:rsidRPr="0034299C" w:rsidTr="00D34C88">
        <w:trPr>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Cr6</w:t>
            </w:r>
          </w:p>
        </w:tc>
        <w:tc>
          <w:tcPr>
            <w:tcW w:w="3608"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do Mestrado</w:t>
            </w:r>
          </w:p>
        </w:tc>
        <w:tc>
          <w:tcPr>
            <w:tcW w:w="2089"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0,075</w:t>
            </w:r>
          </w:p>
        </w:tc>
      </w:tr>
      <w:tr w:rsidR="00D40BCB" w:rsidRPr="0034299C" w:rsidTr="00D34C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Cr7</w:t>
            </w:r>
          </w:p>
        </w:tc>
        <w:tc>
          <w:tcPr>
            <w:tcW w:w="3608"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de Doutorado</w:t>
            </w:r>
          </w:p>
        </w:tc>
        <w:tc>
          <w:tcPr>
            <w:tcW w:w="2089" w:type="dxa"/>
            <w:shd w:val="clear" w:color="auto" w:fill="auto"/>
            <w:vAlign w:val="center"/>
          </w:tcPr>
          <w:p w:rsidR="00D40BCB" w:rsidRPr="0034299C" w:rsidRDefault="00D40BCB" w:rsidP="00D34C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0,15</w:t>
            </w:r>
          </w:p>
        </w:tc>
      </w:tr>
      <w:tr w:rsidR="00D40BCB" w:rsidRPr="0034299C" w:rsidTr="00D34C88">
        <w:trPr>
          <w:jc w:val="center"/>
        </w:trPr>
        <w:tc>
          <w:tcPr>
            <w:cnfStyle w:val="001000000000" w:firstRow="0" w:lastRow="0" w:firstColumn="1" w:lastColumn="0" w:oddVBand="0" w:evenVBand="0" w:oddHBand="0" w:evenHBand="0" w:firstRowFirstColumn="0" w:firstRowLastColumn="0" w:lastRowFirstColumn="0" w:lastRowLastColumn="0"/>
            <w:tcW w:w="1922" w:type="dxa"/>
            <w:shd w:val="clear" w:color="auto" w:fill="auto"/>
            <w:vAlign w:val="center"/>
          </w:tcPr>
          <w:p w:rsidR="00D40BCB" w:rsidRPr="0034299C" w:rsidRDefault="00D40BCB" w:rsidP="00D34C88">
            <w:pPr>
              <w:jc w:val="center"/>
              <w:rPr>
                <w:rFonts w:ascii="Times New Roman" w:hAnsi="Times New Roman" w:cs="Times New Roman"/>
              </w:rPr>
            </w:pPr>
            <w:r w:rsidRPr="0034299C">
              <w:rPr>
                <w:rFonts w:ascii="Times New Roman" w:hAnsi="Times New Roman" w:cs="Times New Roman"/>
              </w:rPr>
              <w:t>Cr8</w:t>
            </w:r>
          </w:p>
        </w:tc>
        <w:tc>
          <w:tcPr>
            <w:tcW w:w="3608"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4299C">
              <w:rPr>
                <w:rFonts w:ascii="Times New Roman" w:hAnsi="Times New Roman" w:cs="Times New Roman"/>
                <w:b/>
              </w:rPr>
              <w:t>Nota de Regime Dedicação Parcial/Integral</w:t>
            </w:r>
          </w:p>
        </w:tc>
        <w:tc>
          <w:tcPr>
            <w:tcW w:w="2089" w:type="dxa"/>
            <w:shd w:val="clear" w:color="auto" w:fill="auto"/>
            <w:vAlign w:val="center"/>
          </w:tcPr>
          <w:p w:rsidR="00D40BCB" w:rsidRPr="0034299C" w:rsidRDefault="00D40BCB" w:rsidP="00D34C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0,075</w:t>
            </w:r>
          </w:p>
        </w:tc>
      </w:tr>
    </w:tbl>
    <w:p w:rsidR="00D40BCB" w:rsidRDefault="00D40BCB" w:rsidP="000541ED">
      <w:pPr>
        <w:spacing w:line="360" w:lineRule="auto"/>
        <w:ind w:firstLine="708"/>
        <w:jc w:val="both"/>
        <w:rPr>
          <w:rFonts w:ascii="Times New Roman" w:eastAsia="Times New Roman" w:hAnsi="Times New Roman" w:cs="Times New Roman"/>
          <w:sz w:val="24"/>
          <w:szCs w:val="24"/>
          <w:lang w:eastAsia="pt-BR"/>
        </w:rPr>
      </w:pPr>
    </w:p>
    <w:p w:rsidR="00563C85" w:rsidRDefault="00563C85" w:rsidP="00563C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a partir de dados do ENADE e do</w:t>
      </w:r>
      <w:r w:rsidR="00054377">
        <w:rPr>
          <w:rFonts w:ascii="Times New Roman" w:hAnsi="Times New Roman" w:cs="Times New Roman"/>
          <w:sz w:val="24"/>
          <w:szCs w:val="24"/>
        </w:rPr>
        <w:t>s cadastros do próprio</w:t>
      </w:r>
      <w:r>
        <w:rPr>
          <w:rFonts w:ascii="Times New Roman" w:hAnsi="Times New Roman" w:cs="Times New Roman"/>
          <w:sz w:val="24"/>
          <w:szCs w:val="24"/>
        </w:rPr>
        <w:t xml:space="preserve"> INEP cada curso de determinada IES tem uma nota de desempenho para cada </w:t>
      </w:r>
      <w:r w:rsidR="000541ED">
        <w:rPr>
          <w:rFonts w:ascii="Times New Roman" w:hAnsi="Times New Roman" w:cs="Times New Roman"/>
          <w:sz w:val="24"/>
          <w:szCs w:val="24"/>
        </w:rPr>
        <w:t>aspecto definido pela portaria</w:t>
      </w:r>
      <w:r>
        <w:rPr>
          <w:rFonts w:ascii="Times New Roman" w:hAnsi="Times New Roman" w:cs="Times New Roman"/>
          <w:sz w:val="24"/>
          <w:szCs w:val="24"/>
        </w:rPr>
        <w:t xml:space="preserve">. A equação </w:t>
      </w:r>
      <w:proofErr w:type="gramStart"/>
      <w:r w:rsidR="0046311F">
        <w:rPr>
          <w:rFonts w:ascii="Times New Roman" w:hAnsi="Times New Roman" w:cs="Times New Roman"/>
          <w:sz w:val="24"/>
          <w:szCs w:val="24"/>
        </w:rPr>
        <w:t>1</w:t>
      </w:r>
      <w:proofErr w:type="gramEnd"/>
      <w:r>
        <w:rPr>
          <w:rFonts w:ascii="Times New Roman" w:hAnsi="Times New Roman" w:cs="Times New Roman"/>
          <w:sz w:val="24"/>
          <w:szCs w:val="24"/>
        </w:rPr>
        <w:t xml:space="preserve"> mostra como são ponderados os pesos para cada critério</w:t>
      </w:r>
      <w:r w:rsidR="00153184">
        <w:rPr>
          <w:rFonts w:ascii="Times New Roman" w:hAnsi="Times New Roman" w:cs="Times New Roman"/>
          <w:sz w:val="24"/>
          <w:szCs w:val="24"/>
        </w:rPr>
        <w:t xml:space="preserve"> e a nota final obtida para o CPC antes do processo de padronização</w:t>
      </w:r>
      <w:r>
        <w:rPr>
          <w:rFonts w:ascii="Times New Roman" w:hAnsi="Times New Roman" w:cs="Times New Roman"/>
          <w:sz w:val="24"/>
          <w:szCs w:val="24"/>
        </w:rPr>
        <w:t>.</w:t>
      </w:r>
    </w:p>
    <w:tbl>
      <w:tblPr>
        <w:tblW w:w="5446" w:type="pct"/>
        <w:jc w:val="center"/>
        <w:tblInd w:w="-459" w:type="dxa"/>
        <w:tblLook w:val="04A0" w:firstRow="1" w:lastRow="0" w:firstColumn="1" w:lastColumn="0" w:noHBand="0" w:noVBand="1"/>
      </w:tblPr>
      <w:tblGrid>
        <w:gridCol w:w="9493"/>
        <w:gridCol w:w="621"/>
      </w:tblGrid>
      <w:tr w:rsidR="00563C85" w:rsidRPr="00563C85" w:rsidTr="00563C85">
        <w:trPr>
          <w:jc w:val="center"/>
        </w:trPr>
        <w:tc>
          <w:tcPr>
            <w:tcW w:w="4693" w:type="pct"/>
            <w:tcBorders>
              <w:top w:val="nil"/>
              <w:left w:val="nil"/>
              <w:bottom w:val="nil"/>
              <w:right w:val="nil"/>
            </w:tcBorders>
          </w:tcPr>
          <w:p w:rsidR="00563C85" w:rsidRPr="00563C85" w:rsidRDefault="00563C85" w:rsidP="00DA5641">
            <w:pPr>
              <w:pStyle w:val="PargrafodaLista"/>
              <w:spacing w:line="360" w:lineRule="auto"/>
              <w:ind w:left="0"/>
              <w:jc w:val="center"/>
              <w:rPr>
                <w:rFonts w:ascii="Times New Roman" w:hAnsi="Times New Roman" w:cs="Times New Roman"/>
                <w:sz w:val="20"/>
                <w:szCs w:val="20"/>
              </w:rPr>
            </w:pPr>
            <m:oMathPara>
              <m:oMath>
                <m:r>
                  <w:rPr>
                    <w:rFonts w:ascii="Cambria Math" w:eastAsiaTheme="minorEastAsia" w:hAnsi="Cambria Math" w:cs="Times New Roman"/>
                    <w:sz w:val="20"/>
                    <w:szCs w:val="20"/>
                  </w:rPr>
                  <m:t>CP</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0,35*NID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0,20*N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0,15*NP</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0,075*NP</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0,075*NP</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0,075*N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+(0,075*N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oMath>
            </m:oMathPara>
          </w:p>
        </w:tc>
        <w:tc>
          <w:tcPr>
            <w:tcW w:w="307" w:type="pct"/>
            <w:tcBorders>
              <w:top w:val="nil"/>
              <w:left w:val="nil"/>
              <w:bottom w:val="nil"/>
              <w:right w:val="nil"/>
            </w:tcBorders>
          </w:tcPr>
          <w:p w:rsidR="00563C85" w:rsidRPr="00563C85" w:rsidRDefault="00563C85" w:rsidP="0046311F">
            <w:pPr>
              <w:pStyle w:val="PargrafodaLista"/>
              <w:spacing w:line="360" w:lineRule="auto"/>
              <w:ind w:left="0"/>
              <w:jc w:val="both"/>
              <w:rPr>
                <w:rFonts w:ascii="Times New Roman" w:hAnsi="Times New Roman" w:cs="Times New Roman"/>
                <w:sz w:val="20"/>
                <w:szCs w:val="20"/>
              </w:rPr>
            </w:pPr>
            <w:r w:rsidRPr="00563C85">
              <w:rPr>
                <w:rFonts w:ascii="Times New Roman" w:hAnsi="Times New Roman" w:cs="Times New Roman"/>
                <w:sz w:val="20"/>
                <w:szCs w:val="20"/>
              </w:rPr>
              <w:t>(</w:t>
            </w:r>
            <w:r w:rsidR="00267C50">
              <w:fldChar w:fldCharType="begin"/>
            </w:r>
            <w:r w:rsidR="00267C50">
              <w:instrText xml:space="preserve"> SEQ EQUAÇÃO \* MERGEFORMAT </w:instrText>
            </w:r>
            <w:r w:rsidR="00267C50">
              <w:fldChar w:fldCharType="separate"/>
            </w:r>
            <w:r w:rsidRPr="00563C85">
              <w:rPr>
                <w:rFonts w:ascii="Times New Roman" w:hAnsi="Times New Roman" w:cs="Times New Roman"/>
                <w:noProof/>
                <w:sz w:val="20"/>
                <w:szCs w:val="20"/>
              </w:rPr>
              <w:t>1</w:t>
            </w:r>
            <w:r w:rsidR="00267C50">
              <w:rPr>
                <w:rFonts w:ascii="Times New Roman" w:hAnsi="Times New Roman" w:cs="Times New Roman"/>
                <w:noProof/>
                <w:sz w:val="20"/>
                <w:szCs w:val="20"/>
              </w:rPr>
              <w:fldChar w:fldCharType="end"/>
            </w:r>
            <w:r w:rsidRPr="00563C85">
              <w:rPr>
                <w:rFonts w:ascii="Times New Roman" w:hAnsi="Times New Roman" w:cs="Times New Roman"/>
                <w:sz w:val="20"/>
                <w:szCs w:val="20"/>
              </w:rPr>
              <w:t>)</w:t>
            </w:r>
          </w:p>
        </w:tc>
      </w:tr>
    </w:tbl>
    <w:p w:rsidR="005A65B8" w:rsidRDefault="00054377" w:rsidP="005A65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Após essa ponderação </w:t>
      </w:r>
      <w:r w:rsidRPr="00707C77">
        <w:rPr>
          <w:rFonts w:ascii="Times New Roman" w:hAnsi="Times New Roman" w:cs="Times New Roman"/>
          <w:sz w:val="24"/>
          <w:szCs w:val="24"/>
        </w:rPr>
        <w:t>é empregado o afastamento padronizado</w:t>
      </w:r>
      <w:r w:rsidR="000541ED">
        <w:rPr>
          <w:rFonts w:ascii="Times New Roman" w:hAnsi="Times New Roman" w:cs="Times New Roman"/>
          <w:sz w:val="24"/>
          <w:szCs w:val="24"/>
        </w:rPr>
        <w:t xml:space="preserve"> (os cálculos utilizados para a padronização das notas encontram-se em INEP (2011))</w:t>
      </w:r>
      <w:r>
        <w:rPr>
          <w:rFonts w:ascii="Times New Roman" w:hAnsi="Times New Roman" w:cs="Times New Roman"/>
          <w:sz w:val="24"/>
          <w:szCs w:val="24"/>
        </w:rPr>
        <w:t xml:space="preserve"> no resultado final da equação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p</w:t>
      </w:r>
      <w:r w:rsidR="00563C85" w:rsidRPr="00707C77">
        <w:rPr>
          <w:rFonts w:ascii="Times New Roman" w:hAnsi="Times New Roman" w:cs="Times New Roman"/>
          <w:sz w:val="24"/>
          <w:szCs w:val="24"/>
        </w:rPr>
        <w:t xml:space="preserve">ara que as notas variem nas faixas do CPC, onde as notas originais são transformadas e padronizadas para variarem entre 0 e 5. Após todo este procedimento tem-se o conceito final da avaliação do curso. </w:t>
      </w:r>
      <w:r>
        <w:rPr>
          <w:rFonts w:ascii="Times New Roman" w:hAnsi="Times New Roman" w:cs="Times New Roman"/>
          <w:sz w:val="24"/>
          <w:szCs w:val="24"/>
        </w:rPr>
        <w:t>A tabela 2 mostra as faixas do CPC e seus respectivos conceitos.</w:t>
      </w:r>
      <w:bookmarkStart w:id="5" w:name="_Toc428261734"/>
    </w:p>
    <w:p w:rsidR="00563C85" w:rsidRPr="005A65B8" w:rsidRDefault="00563C85" w:rsidP="005A65B8">
      <w:pPr>
        <w:spacing w:line="360" w:lineRule="auto"/>
        <w:ind w:firstLine="708"/>
        <w:jc w:val="both"/>
        <w:rPr>
          <w:rFonts w:ascii="Times New Roman" w:hAnsi="Times New Roman" w:cs="Times New Roman"/>
          <w:sz w:val="24"/>
          <w:szCs w:val="24"/>
        </w:rPr>
      </w:pPr>
      <w:r w:rsidRPr="005A65B8">
        <w:rPr>
          <w:rFonts w:ascii="Times New Roman" w:hAnsi="Times New Roman" w:cs="Times New Roman"/>
        </w:rPr>
        <w:lastRenderedPageBreak/>
        <w:t xml:space="preserve">Tabela </w:t>
      </w:r>
      <w:r w:rsidR="00007917" w:rsidRPr="005A65B8">
        <w:rPr>
          <w:rFonts w:ascii="Times New Roman" w:hAnsi="Times New Roman" w:cs="Times New Roman"/>
        </w:rPr>
        <w:fldChar w:fldCharType="begin"/>
      </w:r>
      <w:r w:rsidRPr="005A65B8">
        <w:rPr>
          <w:rFonts w:ascii="Times New Roman" w:hAnsi="Times New Roman" w:cs="Times New Roman"/>
        </w:rPr>
        <w:instrText xml:space="preserve"> SEQ Tabela \* ARABIC </w:instrText>
      </w:r>
      <w:r w:rsidR="00007917" w:rsidRPr="005A65B8">
        <w:rPr>
          <w:rFonts w:ascii="Times New Roman" w:hAnsi="Times New Roman" w:cs="Times New Roman"/>
        </w:rPr>
        <w:fldChar w:fldCharType="separate"/>
      </w:r>
      <w:r w:rsidRPr="005A65B8">
        <w:rPr>
          <w:rFonts w:ascii="Times New Roman" w:hAnsi="Times New Roman" w:cs="Times New Roman"/>
          <w:noProof/>
        </w:rPr>
        <w:t>2</w:t>
      </w:r>
      <w:r w:rsidR="00007917" w:rsidRPr="005A65B8">
        <w:rPr>
          <w:rFonts w:ascii="Times New Roman" w:hAnsi="Times New Roman" w:cs="Times New Roman"/>
        </w:rPr>
        <w:fldChar w:fldCharType="end"/>
      </w:r>
      <w:r w:rsidRPr="005A65B8">
        <w:rPr>
          <w:rFonts w:ascii="Times New Roman" w:hAnsi="Times New Roman" w:cs="Times New Roman"/>
        </w:rPr>
        <w:t>-Distribuição dos Conceitos segundo metodologia adotada pelo CPC.</w:t>
      </w:r>
      <w:bookmarkEnd w:id="5"/>
    </w:p>
    <w:tbl>
      <w:tblPr>
        <w:tblStyle w:val="SombreamentoClaro1"/>
        <w:tblW w:w="0" w:type="auto"/>
        <w:jc w:val="center"/>
        <w:tblInd w:w="1197" w:type="dxa"/>
        <w:tblLook w:val="04A0" w:firstRow="1" w:lastRow="0" w:firstColumn="1" w:lastColumn="0" w:noHBand="0" w:noVBand="1"/>
      </w:tblPr>
      <w:tblGrid>
        <w:gridCol w:w="2684"/>
        <w:gridCol w:w="3337"/>
      </w:tblGrid>
      <w:tr w:rsidR="00563C85" w:rsidRPr="00563C85" w:rsidTr="00DA56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rPr>
            </w:pPr>
            <w:r w:rsidRPr="00563C85">
              <w:rPr>
                <w:rFonts w:ascii="Times New Roman" w:hAnsi="Times New Roman" w:cs="Times New Roman"/>
              </w:rPr>
              <w:t>Valor discreto do CPC</w:t>
            </w:r>
          </w:p>
        </w:tc>
        <w:tc>
          <w:tcPr>
            <w:tcW w:w="3337" w:type="dxa"/>
            <w:shd w:val="clear" w:color="auto" w:fill="auto"/>
          </w:tcPr>
          <w:p w:rsidR="00563C85" w:rsidRPr="00563C85" w:rsidRDefault="00563C85" w:rsidP="00DA5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Valor contínuo do CPC</w:t>
            </w:r>
          </w:p>
        </w:tc>
      </w:tr>
      <w:tr w:rsidR="00563C85" w:rsidRPr="00563C85"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b w:val="0"/>
              </w:rPr>
            </w:pPr>
            <w:proofErr w:type="gramStart"/>
            <w:r w:rsidRPr="00563C85">
              <w:rPr>
                <w:rFonts w:ascii="Times New Roman" w:hAnsi="Times New Roman" w:cs="Times New Roman"/>
                <w:b w:val="0"/>
              </w:rPr>
              <w:t>1</w:t>
            </w:r>
            <w:proofErr w:type="gramEnd"/>
          </w:p>
        </w:tc>
        <w:tc>
          <w:tcPr>
            <w:tcW w:w="3337" w:type="dxa"/>
            <w:shd w:val="clear" w:color="auto" w:fill="auto"/>
          </w:tcPr>
          <w:p w:rsidR="00563C85" w:rsidRPr="00563C85" w:rsidRDefault="00563C85"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0,0 a 0,94</w:t>
            </w:r>
          </w:p>
        </w:tc>
      </w:tr>
      <w:tr w:rsidR="00563C85" w:rsidRPr="00563C85" w:rsidTr="00DA5641">
        <w:trPr>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b w:val="0"/>
              </w:rPr>
            </w:pPr>
            <w:proofErr w:type="gramStart"/>
            <w:r w:rsidRPr="00563C85">
              <w:rPr>
                <w:rFonts w:ascii="Times New Roman" w:hAnsi="Times New Roman" w:cs="Times New Roman"/>
                <w:b w:val="0"/>
              </w:rPr>
              <w:t>2</w:t>
            </w:r>
            <w:proofErr w:type="gramEnd"/>
          </w:p>
        </w:tc>
        <w:tc>
          <w:tcPr>
            <w:tcW w:w="3337" w:type="dxa"/>
            <w:shd w:val="clear" w:color="auto" w:fill="auto"/>
          </w:tcPr>
          <w:p w:rsidR="00563C85" w:rsidRPr="00563C85" w:rsidRDefault="00563C85" w:rsidP="00DA5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0,95 a 1,94</w:t>
            </w:r>
          </w:p>
        </w:tc>
      </w:tr>
      <w:tr w:rsidR="00563C85" w:rsidRPr="00563C85"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b w:val="0"/>
              </w:rPr>
            </w:pPr>
            <w:proofErr w:type="gramStart"/>
            <w:r w:rsidRPr="00563C85">
              <w:rPr>
                <w:rFonts w:ascii="Times New Roman" w:hAnsi="Times New Roman" w:cs="Times New Roman"/>
                <w:b w:val="0"/>
              </w:rPr>
              <w:t>3</w:t>
            </w:r>
            <w:proofErr w:type="gramEnd"/>
          </w:p>
        </w:tc>
        <w:tc>
          <w:tcPr>
            <w:tcW w:w="3337" w:type="dxa"/>
            <w:shd w:val="clear" w:color="auto" w:fill="auto"/>
          </w:tcPr>
          <w:p w:rsidR="00563C85" w:rsidRPr="00563C85" w:rsidRDefault="00563C85"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1,95 a 2,94</w:t>
            </w:r>
          </w:p>
        </w:tc>
      </w:tr>
      <w:tr w:rsidR="00563C85" w:rsidRPr="00563C85" w:rsidTr="00DA5641">
        <w:trPr>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b w:val="0"/>
              </w:rPr>
            </w:pPr>
            <w:proofErr w:type="gramStart"/>
            <w:r w:rsidRPr="00563C85">
              <w:rPr>
                <w:rFonts w:ascii="Times New Roman" w:hAnsi="Times New Roman" w:cs="Times New Roman"/>
                <w:b w:val="0"/>
              </w:rPr>
              <w:t>4</w:t>
            </w:r>
            <w:proofErr w:type="gramEnd"/>
          </w:p>
        </w:tc>
        <w:tc>
          <w:tcPr>
            <w:tcW w:w="3337" w:type="dxa"/>
            <w:shd w:val="clear" w:color="auto" w:fill="auto"/>
          </w:tcPr>
          <w:p w:rsidR="00563C85" w:rsidRPr="00563C85" w:rsidRDefault="00563C85" w:rsidP="00DA5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2,95 a 3,94</w:t>
            </w:r>
          </w:p>
        </w:tc>
      </w:tr>
      <w:tr w:rsidR="00563C85" w:rsidRPr="00563C85"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tcPr>
          <w:p w:rsidR="00563C85" w:rsidRPr="00563C85" w:rsidRDefault="00563C85" w:rsidP="00DA5641">
            <w:pPr>
              <w:jc w:val="center"/>
              <w:rPr>
                <w:rFonts w:ascii="Times New Roman" w:hAnsi="Times New Roman" w:cs="Times New Roman"/>
                <w:b w:val="0"/>
              </w:rPr>
            </w:pPr>
            <w:proofErr w:type="gramStart"/>
            <w:r w:rsidRPr="00563C85">
              <w:rPr>
                <w:rFonts w:ascii="Times New Roman" w:hAnsi="Times New Roman" w:cs="Times New Roman"/>
                <w:b w:val="0"/>
              </w:rPr>
              <w:t>5</w:t>
            </w:r>
            <w:proofErr w:type="gramEnd"/>
          </w:p>
        </w:tc>
        <w:tc>
          <w:tcPr>
            <w:tcW w:w="3337" w:type="dxa"/>
            <w:shd w:val="clear" w:color="auto" w:fill="auto"/>
          </w:tcPr>
          <w:p w:rsidR="00563C85" w:rsidRPr="00563C85" w:rsidRDefault="00563C85"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3C85">
              <w:rPr>
                <w:rFonts w:ascii="Times New Roman" w:hAnsi="Times New Roman" w:cs="Times New Roman"/>
              </w:rPr>
              <w:t>3,95 a 5,0</w:t>
            </w:r>
          </w:p>
        </w:tc>
      </w:tr>
    </w:tbl>
    <w:p w:rsidR="00563C85" w:rsidRDefault="00563C85" w:rsidP="00563C85">
      <w:pPr>
        <w:spacing w:line="240" w:lineRule="auto"/>
        <w:ind w:firstLine="708"/>
        <w:jc w:val="center"/>
        <w:rPr>
          <w:rFonts w:ascii="Times New Roman" w:hAnsi="Times New Roman" w:cs="Times New Roman"/>
        </w:rPr>
      </w:pPr>
      <w:r w:rsidRPr="00563C85">
        <w:rPr>
          <w:rFonts w:ascii="Times New Roman" w:hAnsi="Times New Roman" w:cs="Times New Roman"/>
        </w:rPr>
        <w:t>Fonte: INEP (2011).</w:t>
      </w:r>
    </w:p>
    <w:p w:rsidR="000541ED" w:rsidRDefault="000541ED" w:rsidP="000541E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62115F">
        <w:rPr>
          <w:rFonts w:ascii="Times New Roman" w:hAnsi="Times New Roman" w:cs="Times New Roman"/>
          <w:sz w:val="24"/>
          <w:szCs w:val="24"/>
        </w:rPr>
        <w:t>ursos que tenham obtido conceito preliminar satisfatório</w:t>
      </w:r>
      <w:r>
        <w:rPr>
          <w:rFonts w:ascii="Times New Roman" w:hAnsi="Times New Roman" w:cs="Times New Roman"/>
          <w:sz w:val="24"/>
          <w:szCs w:val="24"/>
        </w:rPr>
        <w:t xml:space="preserve">, acima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w:t>
      </w:r>
      <w:r w:rsidRPr="0062115F">
        <w:rPr>
          <w:rFonts w:ascii="Times New Roman" w:hAnsi="Times New Roman" w:cs="Times New Roman"/>
          <w:sz w:val="24"/>
          <w:szCs w:val="24"/>
        </w:rPr>
        <w:t xml:space="preserve"> ficam dispensados de avaliação in loco nos processos de renovação de reconhecimento dos seus respectivos cursos. Já cursos com CPC abaixo de três necessitarão das visitas </w:t>
      </w:r>
      <w:r w:rsidRPr="000541ED">
        <w:rPr>
          <w:rFonts w:ascii="Times New Roman" w:hAnsi="Times New Roman" w:cs="Times New Roman"/>
          <w:i/>
          <w:sz w:val="24"/>
          <w:szCs w:val="24"/>
        </w:rPr>
        <w:t>in loco</w:t>
      </w:r>
      <w:r w:rsidRPr="0062115F">
        <w:rPr>
          <w:rFonts w:ascii="Times New Roman" w:hAnsi="Times New Roman" w:cs="Times New Roman"/>
          <w:sz w:val="24"/>
          <w:szCs w:val="24"/>
        </w:rPr>
        <w:t xml:space="preserve"> para averiguação das condições dos cursos (Brasil, 2008).</w:t>
      </w:r>
      <w:r w:rsidR="00153184">
        <w:rPr>
          <w:rFonts w:ascii="Times New Roman" w:hAnsi="Times New Roman" w:cs="Times New Roman"/>
          <w:sz w:val="24"/>
          <w:szCs w:val="24"/>
        </w:rPr>
        <w:t xml:space="preserve"> É interessante observar que a faixa do conceito </w:t>
      </w:r>
      <w:proofErr w:type="gramStart"/>
      <w:r w:rsidR="00153184">
        <w:rPr>
          <w:rFonts w:ascii="Times New Roman" w:hAnsi="Times New Roman" w:cs="Times New Roman"/>
          <w:sz w:val="24"/>
          <w:szCs w:val="24"/>
        </w:rPr>
        <w:t>1</w:t>
      </w:r>
      <w:proofErr w:type="gramEnd"/>
      <w:r w:rsidR="00153184">
        <w:rPr>
          <w:rFonts w:ascii="Times New Roman" w:hAnsi="Times New Roman" w:cs="Times New Roman"/>
          <w:sz w:val="24"/>
          <w:szCs w:val="24"/>
        </w:rPr>
        <w:t xml:space="preserve"> do CPC é menor quando comparada as outras. Já a faixa do conceito </w:t>
      </w:r>
      <w:proofErr w:type="gramStart"/>
      <w:r w:rsidR="00153184">
        <w:rPr>
          <w:rFonts w:ascii="Times New Roman" w:hAnsi="Times New Roman" w:cs="Times New Roman"/>
          <w:sz w:val="24"/>
          <w:szCs w:val="24"/>
        </w:rPr>
        <w:t>5</w:t>
      </w:r>
      <w:proofErr w:type="gramEnd"/>
      <w:r w:rsidR="00153184">
        <w:rPr>
          <w:rFonts w:ascii="Times New Roman" w:hAnsi="Times New Roman" w:cs="Times New Roman"/>
          <w:sz w:val="24"/>
          <w:szCs w:val="24"/>
        </w:rPr>
        <w:t xml:space="preserve"> é maior que as outras, ocorre então uma desproporcionalidade na definição das faixas do CPC, algo que pode ser considerado tendencioso. </w:t>
      </w:r>
    </w:p>
    <w:p w:rsidR="00633748" w:rsidRDefault="00633748" w:rsidP="0063374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633748">
        <w:rPr>
          <w:rFonts w:ascii="Times New Roman" w:hAnsi="Times New Roman" w:cs="Times New Roman"/>
          <w:b/>
          <w:sz w:val="24"/>
          <w:szCs w:val="24"/>
        </w:rPr>
        <w:t>Métodos de Auxílio Multicritério à Tomada de Decisão</w:t>
      </w:r>
    </w:p>
    <w:p w:rsidR="00432551" w:rsidRPr="00432551" w:rsidRDefault="00432551" w:rsidP="00432551">
      <w:pPr>
        <w:spacing w:after="0" w:line="360" w:lineRule="auto"/>
        <w:ind w:firstLine="708"/>
        <w:jc w:val="both"/>
        <w:rPr>
          <w:rFonts w:ascii="Times New Roman" w:hAnsi="Times New Roman" w:cs="Times New Roman"/>
          <w:sz w:val="24"/>
          <w:szCs w:val="24"/>
        </w:rPr>
      </w:pPr>
      <w:r w:rsidRPr="00432551">
        <w:rPr>
          <w:rFonts w:ascii="Times New Roman" w:hAnsi="Times New Roman" w:cs="Times New Roman"/>
          <w:color w:val="000000" w:themeColor="text1"/>
          <w:sz w:val="24"/>
          <w:szCs w:val="24"/>
          <w:lang w:val="pt-PT"/>
        </w:rPr>
        <w:t xml:space="preserve">Os métodos de Auxílio Multicritério à Decisão (AMD) beseiam-se no método científico para apoiar a resolução de problemas complexos. </w:t>
      </w:r>
      <w:r w:rsidRPr="00432551">
        <w:rPr>
          <w:rFonts w:ascii="Times New Roman" w:hAnsi="Times New Roman" w:cs="Times New Roman"/>
          <w:sz w:val="24"/>
          <w:szCs w:val="24"/>
        </w:rPr>
        <w:t xml:space="preserve">Segundo </w:t>
      </w:r>
      <w:proofErr w:type="spellStart"/>
      <w:r w:rsidRPr="00432551">
        <w:rPr>
          <w:rFonts w:ascii="Times New Roman" w:hAnsi="Times New Roman" w:cs="Times New Roman"/>
          <w:sz w:val="24"/>
          <w:szCs w:val="24"/>
        </w:rPr>
        <w:t>Vincke</w:t>
      </w:r>
      <w:proofErr w:type="spellEnd"/>
      <w:r w:rsidRPr="00432551">
        <w:rPr>
          <w:rFonts w:ascii="Times New Roman" w:hAnsi="Times New Roman" w:cs="Times New Roman"/>
          <w:sz w:val="24"/>
          <w:szCs w:val="24"/>
        </w:rPr>
        <w:t xml:space="preserve"> (1992), o apoio multicritério à decisão tem por objetivo, fornecer ao </w:t>
      </w:r>
      <w:proofErr w:type="spellStart"/>
      <w:r w:rsidRPr="00432551">
        <w:rPr>
          <w:rFonts w:ascii="Times New Roman" w:hAnsi="Times New Roman" w:cs="Times New Roman"/>
          <w:sz w:val="24"/>
          <w:szCs w:val="24"/>
        </w:rPr>
        <w:t>decisor</w:t>
      </w:r>
      <w:proofErr w:type="spellEnd"/>
      <w:r w:rsidRPr="00432551">
        <w:rPr>
          <w:rFonts w:ascii="Times New Roman" w:hAnsi="Times New Roman" w:cs="Times New Roman"/>
          <w:sz w:val="24"/>
          <w:szCs w:val="24"/>
        </w:rPr>
        <w:t xml:space="preserve"> algumas ferramentas que possibilitam a resolução de um problema de decisão no qual há vários pontos de vista a serem considerados, que muitas vezes conflitam entre si.</w:t>
      </w:r>
    </w:p>
    <w:p w:rsidR="00432551" w:rsidRDefault="00432551" w:rsidP="00432551">
      <w:pPr>
        <w:spacing w:after="0" w:line="360" w:lineRule="auto"/>
        <w:ind w:firstLine="708"/>
        <w:jc w:val="both"/>
        <w:rPr>
          <w:rFonts w:ascii="Times New Roman" w:eastAsia="Times New Roman" w:hAnsi="Times New Roman" w:cs="Times New Roman"/>
          <w:sz w:val="24"/>
          <w:szCs w:val="24"/>
          <w:lang w:eastAsia="pt-BR"/>
        </w:rPr>
      </w:pPr>
      <w:r w:rsidRPr="0024190E">
        <w:rPr>
          <w:rFonts w:ascii="Times New Roman" w:hAnsi="Times New Roman" w:cs="Times New Roman"/>
          <w:sz w:val="24"/>
          <w:szCs w:val="24"/>
        </w:rPr>
        <w:t xml:space="preserve">Na </w:t>
      </w:r>
      <w:proofErr w:type="gramStart"/>
      <w:r w:rsidRPr="0024190E">
        <w:rPr>
          <w:rFonts w:ascii="Times New Roman" w:hAnsi="Times New Roman" w:cs="Times New Roman"/>
          <w:sz w:val="24"/>
          <w:szCs w:val="24"/>
        </w:rPr>
        <w:t>modelagem de um problema várias problemáticas</w:t>
      </w:r>
      <w:proofErr w:type="gramEnd"/>
      <w:r w:rsidRPr="0024190E">
        <w:rPr>
          <w:rFonts w:ascii="Times New Roman" w:hAnsi="Times New Roman" w:cs="Times New Roman"/>
          <w:sz w:val="24"/>
          <w:szCs w:val="24"/>
        </w:rPr>
        <w:t xml:space="preserve"> </w:t>
      </w:r>
      <w:r w:rsidR="0024190E" w:rsidRPr="0024190E">
        <w:rPr>
          <w:rFonts w:ascii="Times New Roman" w:hAnsi="Times New Roman" w:cs="Times New Roman"/>
          <w:sz w:val="24"/>
          <w:szCs w:val="24"/>
        </w:rPr>
        <w:t>podem ser considerada</w:t>
      </w:r>
      <w:r w:rsidRPr="0024190E">
        <w:rPr>
          <w:rFonts w:ascii="Times New Roman" w:hAnsi="Times New Roman" w:cs="Times New Roman"/>
          <w:sz w:val="24"/>
          <w:szCs w:val="24"/>
        </w:rPr>
        <w:t>s</w:t>
      </w:r>
      <w:r w:rsidR="0024190E" w:rsidRPr="0024190E">
        <w:rPr>
          <w:rFonts w:ascii="Times New Roman" w:hAnsi="Times New Roman" w:cs="Times New Roman"/>
          <w:sz w:val="24"/>
          <w:szCs w:val="24"/>
        </w:rPr>
        <w:t xml:space="preserve"> segundo Roy</w:t>
      </w:r>
      <w:r w:rsidR="00047529">
        <w:rPr>
          <w:rFonts w:ascii="Times New Roman" w:hAnsi="Times New Roman" w:cs="Times New Roman"/>
          <w:sz w:val="24"/>
          <w:szCs w:val="24"/>
        </w:rPr>
        <w:t xml:space="preserve"> </w:t>
      </w:r>
      <w:r w:rsidR="0024190E" w:rsidRPr="0024190E">
        <w:rPr>
          <w:rFonts w:ascii="Times New Roman" w:hAnsi="Times New Roman" w:cs="Times New Roman"/>
          <w:sz w:val="24"/>
          <w:szCs w:val="24"/>
        </w:rPr>
        <w:t>(1996)</w:t>
      </w:r>
      <w:r w:rsidRPr="0024190E">
        <w:rPr>
          <w:rFonts w:ascii="Times New Roman" w:hAnsi="Times New Roman" w:cs="Times New Roman"/>
          <w:sz w:val="24"/>
          <w:szCs w:val="24"/>
        </w:rPr>
        <w:t xml:space="preserve">.  </w:t>
      </w:r>
      <w:r w:rsidR="0024190E" w:rsidRPr="0024190E">
        <w:rPr>
          <w:rFonts w:ascii="Times New Roman" w:hAnsi="Times New Roman" w:cs="Times New Roman"/>
          <w:sz w:val="24"/>
          <w:szCs w:val="24"/>
        </w:rPr>
        <w:t>A problemática</w:t>
      </w:r>
      <m:oMath>
        <m:r>
          <w:rPr>
            <w:rFonts w:ascii="Cambria Math" w:eastAsia="Times New Roman" w:hAnsi="Cambria Math" w:cs="Times New Roman"/>
            <w:sz w:val="24"/>
            <w:szCs w:val="24"/>
            <w:lang w:eastAsia="pt-BR"/>
          </w:rPr>
          <m:t>P(α)</m:t>
        </m:r>
      </m:oMath>
      <w:r w:rsidR="0024190E" w:rsidRPr="0024190E">
        <w:rPr>
          <w:rFonts w:ascii="Times New Roman" w:eastAsia="Times New Roman" w:hAnsi="Times New Roman" w:cs="Times New Roman"/>
          <w:sz w:val="24"/>
          <w:szCs w:val="24"/>
          <w:lang w:eastAsia="pt-BR"/>
        </w:rPr>
        <w:t xml:space="preserve"> onde o resultado é um procedimento de escolha; a problemática </w:t>
      </w:r>
      <m:oMath>
        <m:r>
          <w:rPr>
            <w:rFonts w:ascii="Cambria Math" w:eastAsia="Times New Roman" w:hAnsi="Cambria Math" w:cs="Times New Roman"/>
            <w:sz w:val="24"/>
            <w:szCs w:val="24"/>
            <w:lang w:eastAsia="pt-BR"/>
          </w:rPr>
          <m:t>P(β)</m:t>
        </m:r>
      </m:oMath>
      <w:r w:rsidR="0024190E" w:rsidRPr="0024190E">
        <w:rPr>
          <w:rFonts w:ascii="Times New Roman" w:eastAsia="Times New Roman" w:hAnsi="Times New Roman" w:cs="Times New Roman"/>
          <w:sz w:val="24"/>
          <w:szCs w:val="24"/>
          <w:lang w:eastAsia="pt-BR"/>
        </w:rPr>
        <w:t xml:space="preserve"> que apresenta como resultado uma classificação das alternativas, sendo cada uma alocada em categorias definidas por normas previamente estabelecidas; a problemática </w:t>
      </w:r>
      <m:oMath>
        <m:r>
          <w:rPr>
            <w:rFonts w:ascii="Cambria Math" w:eastAsia="Times New Roman" w:hAnsi="Cambria Math" w:cs="Times New Roman"/>
            <w:sz w:val="24"/>
            <w:szCs w:val="24"/>
            <w:lang w:eastAsia="pt-BR"/>
          </w:rPr>
          <m:t>P(γ)</m:t>
        </m:r>
      </m:oMath>
      <w:r w:rsidR="0024190E" w:rsidRPr="0024190E">
        <w:rPr>
          <w:rFonts w:ascii="Times New Roman" w:eastAsia="Times New Roman" w:hAnsi="Times New Roman" w:cs="Times New Roman"/>
          <w:sz w:val="24"/>
          <w:szCs w:val="24"/>
          <w:lang w:eastAsia="pt-BR"/>
        </w:rPr>
        <w:t xml:space="preserve"> que gera um ranking como resultado e a problemática </w:t>
      </w:r>
      <m:oMath>
        <m:r>
          <w:rPr>
            <w:rFonts w:ascii="Cambria Math" w:eastAsia="Times New Roman" w:hAnsi="Cambria Math" w:cs="Times New Roman"/>
            <w:sz w:val="24"/>
            <w:szCs w:val="24"/>
            <w:lang w:eastAsia="pt-BR"/>
          </w:rPr>
          <m:t>P(δ)</m:t>
        </m:r>
      </m:oMath>
      <w:r w:rsidR="0024190E" w:rsidRPr="0024190E">
        <w:rPr>
          <w:rFonts w:ascii="Times New Roman" w:eastAsia="Times New Roman" w:hAnsi="Times New Roman" w:cs="Times New Roman"/>
          <w:sz w:val="24"/>
          <w:szCs w:val="24"/>
          <w:lang w:eastAsia="pt-BR"/>
        </w:rPr>
        <w:t xml:space="preserve"> cujo resultado é uma descrição.</w:t>
      </w:r>
    </w:p>
    <w:p w:rsidR="003C6604" w:rsidRDefault="003C6604" w:rsidP="00432551">
      <w:pPr>
        <w:spacing w:after="0" w:line="360" w:lineRule="auto"/>
        <w:ind w:firstLine="708"/>
        <w:jc w:val="both"/>
        <w:rPr>
          <w:rFonts w:ascii="Times New Roman" w:hAnsi="Times New Roman" w:cs="Times New Roman"/>
          <w:sz w:val="24"/>
          <w:szCs w:val="24"/>
        </w:rPr>
      </w:pPr>
      <w:r w:rsidRPr="00FC029F">
        <w:rPr>
          <w:rFonts w:ascii="Times New Roman" w:eastAsia="Times New Roman" w:hAnsi="Times New Roman" w:cs="Times New Roman"/>
          <w:sz w:val="24"/>
          <w:szCs w:val="24"/>
          <w:lang w:eastAsia="pt-BR"/>
        </w:rPr>
        <w:t xml:space="preserve">Dentre os métodos multicritério destacam-se os </w:t>
      </w:r>
      <w:r w:rsidRPr="00FC029F">
        <w:rPr>
          <w:rFonts w:ascii="Times New Roman" w:hAnsi="Times New Roman" w:cs="Times New Roman"/>
          <w:sz w:val="24"/>
          <w:szCs w:val="24"/>
        </w:rPr>
        <w:t xml:space="preserve">métodos que exploram relações de Sobreclassificação e fundamentam-se na construção de uma relação de sobreclassificação </w:t>
      </w:r>
      <m:oMath>
        <m:r>
          <w:rPr>
            <w:rFonts w:ascii="Cambria Math" w:hAnsi="Cambria Math" w:cs="Times New Roman"/>
            <w:sz w:val="24"/>
            <w:szCs w:val="24"/>
          </w:rPr>
          <m:t xml:space="preserve">S </m:t>
        </m:r>
      </m:oMath>
      <w:r w:rsidRPr="00FC029F">
        <w:rPr>
          <w:rFonts w:ascii="Times New Roman" w:hAnsi="Times New Roman" w:cs="Times New Roman"/>
          <w:sz w:val="24"/>
          <w:szCs w:val="24"/>
        </w:rPr>
        <w:t xml:space="preserve">que incorpora as preferências estabelecidas pelo decisor diante dos problemas e das alternativas </w:t>
      </w:r>
      <m:oMath>
        <m:r>
          <w:rPr>
            <w:rFonts w:ascii="Cambria Math" w:hAnsi="Cambria Math" w:cs="Times New Roman"/>
            <w:sz w:val="24"/>
            <w:szCs w:val="24"/>
          </w:rPr>
          <m:t>A</m:t>
        </m:r>
      </m:oMath>
      <w:r w:rsidRPr="00FC029F">
        <w:rPr>
          <w:rFonts w:ascii="Times New Roman" w:hAnsi="Times New Roman" w:cs="Times New Roman"/>
          <w:sz w:val="24"/>
          <w:szCs w:val="24"/>
        </w:rPr>
        <w:t xml:space="preserve"> disponíveis. Esta relação S é binária e definida tal que </w:t>
      </w:r>
      <m:oMath>
        <m:r>
          <w:rPr>
            <w:rFonts w:ascii="Cambria Math" w:hAnsi="Cambria Math" w:cs="Times New Roman"/>
            <w:sz w:val="24"/>
            <w:szCs w:val="24"/>
          </w:rPr>
          <m:t>aSb</m:t>
        </m:r>
      </m:oMath>
      <w:r w:rsidRPr="00FC029F">
        <w:rPr>
          <w:rFonts w:ascii="Times New Roman" w:eastAsiaTheme="minorEastAsia" w:hAnsi="Times New Roman" w:cs="Times New Roman"/>
          <w:sz w:val="24"/>
          <w:szCs w:val="24"/>
        </w:rPr>
        <w:t xml:space="preserve">, se </w:t>
      </w:r>
      <m:oMath>
        <m:r>
          <w:rPr>
            <w:rFonts w:ascii="Cambria Math" w:eastAsiaTheme="minorEastAsia" w:hAnsi="Cambria Math" w:cs="Times New Roman"/>
            <w:sz w:val="24"/>
            <w:szCs w:val="24"/>
          </w:rPr>
          <m:t>a</m:t>
        </m:r>
      </m:oMath>
      <w:r w:rsidRPr="00FC029F">
        <w:rPr>
          <w:rFonts w:ascii="Times New Roman" w:eastAsiaTheme="minorEastAsia" w:hAnsi="Times New Roman" w:cs="Times New Roman"/>
          <w:sz w:val="24"/>
          <w:szCs w:val="24"/>
        </w:rPr>
        <w:t xml:space="preserve"> é pelo menos tão bom quanto </w:t>
      </w:r>
      <m:oMath>
        <m:r>
          <w:rPr>
            <w:rFonts w:ascii="Cambria Math" w:eastAsiaTheme="minorEastAsia" w:hAnsi="Cambria Math" w:cs="Times New Roman"/>
            <w:sz w:val="24"/>
            <w:szCs w:val="24"/>
          </w:rPr>
          <m:t>b</m:t>
        </m:r>
      </m:oMath>
      <w:r w:rsidR="00047529">
        <w:rPr>
          <w:rFonts w:ascii="Times New Roman" w:eastAsiaTheme="minorEastAsia" w:hAnsi="Times New Roman" w:cs="Times New Roman"/>
          <w:sz w:val="24"/>
          <w:szCs w:val="24"/>
        </w:rPr>
        <w:t xml:space="preserve"> </w:t>
      </w:r>
      <w:r w:rsidRPr="00FC029F">
        <w:rPr>
          <w:rFonts w:ascii="Times New Roman" w:hAnsi="Times New Roman" w:cs="Times New Roman"/>
          <w:sz w:val="24"/>
          <w:szCs w:val="24"/>
        </w:rPr>
        <w:t>(Miranda e Almeida, 2003).</w:t>
      </w:r>
    </w:p>
    <w:p w:rsidR="00D71291" w:rsidRDefault="00D71291" w:rsidP="00D71291">
      <w:pPr>
        <w:pStyle w:val="PargrafodaLista"/>
        <w:spacing w:line="360" w:lineRule="auto"/>
        <w:ind w:left="0" w:firstLine="708"/>
        <w:jc w:val="both"/>
        <w:rPr>
          <w:rFonts w:ascii="Times New Roman" w:hAnsi="Times New Roman" w:cs="Times New Roman"/>
          <w:color w:val="000000"/>
          <w:sz w:val="24"/>
          <w:szCs w:val="24"/>
          <w:shd w:val="clear" w:color="auto" w:fill="FFFFFF"/>
        </w:rPr>
      </w:pPr>
      <w:r w:rsidRPr="00D71291">
        <w:rPr>
          <w:rFonts w:ascii="Times New Roman" w:hAnsi="Times New Roman" w:cs="Times New Roman"/>
          <w:sz w:val="24"/>
          <w:szCs w:val="24"/>
        </w:rPr>
        <w:lastRenderedPageBreak/>
        <w:t>Os métodos da família ELECTRE (</w:t>
      </w:r>
      <w:proofErr w:type="spellStart"/>
      <w:r w:rsidRPr="00D71291">
        <w:rPr>
          <w:rFonts w:ascii="Times New Roman" w:hAnsi="Times New Roman" w:cs="Times New Roman"/>
          <w:i/>
          <w:sz w:val="24"/>
          <w:szCs w:val="24"/>
        </w:rPr>
        <w:t>Elimination</w:t>
      </w:r>
      <w:proofErr w:type="spellEnd"/>
      <w:r w:rsidRPr="00D71291">
        <w:rPr>
          <w:rFonts w:ascii="Times New Roman" w:hAnsi="Times New Roman" w:cs="Times New Roman"/>
          <w:i/>
          <w:sz w:val="24"/>
          <w:szCs w:val="24"/>
        </w:rPr>
        <w:t xml:space="preserve"> </w:t>
      </w:r>
      <w:proofErr w:type="gramStart"/>
      <w:r w:rsidRPr="00D71291">
        <w:rPr>
          <w:rFonts w:ascii="Times New Roman" w:hAnsi="Times New Roman" w:cs="Times New Roman"/>
          <w:i/>
          <w:sz w:val="24"/>
          <w:szCs w:val="24"/>
        </w:rPr>
        <w:t>Et</w:t>
      </w:r>
      <w:proofErr w:type="gramEnd"/>
      <w:r w:rsidRPr="00D71291">
        <w:rPr>
          <w:rFonts w:ascii="Times New Roman" w:hAnsi="Times New Roman" w:cs="Times New Roman"/>
          <w:i/>
          <w:sz w:val="24"/>
          <w:szCs w:val="24"/>
        </w:rPr>
        <w:t xml:space="preserve"> </w:t>
      </w:r>
      <w:proofErr w:type="spellStart"/>
      <w:r w:rsidRPr="00D71291">
        <w:rPr>
          <w:rFonts w:ascii="Times New Roman" w:hAnsi="Times New Roman" w:cs="Times New Roman"/>
          <w:i/>
          <w:sz w:val="24"/>
          <w:szCs w:val="24"/>
        </w:rPr>
        <w:t>ChoiceTraduisantlaRéalité</w:t>
      </w:r>
      <w:proofErr w:type="spellEnd"/>
      <w:r w:rsidRPr="00D71291">
        <w:rPr>
          <w:rFonts w:ascii="Times New Roman" w:hAnsi="Times New Roman" w:cs="Times New Roman"/>
          <w:sz w:val="24"/>
          <w:szCs w:val="24"/>
        </w:rPr>
        <w:t>) fazem parte do grupo de métodos de sobreclassificação. É composta pelos métodos: ELECTRE I, II, III, IV, IS, TRI, Iv, GD, SS, TRI-C, SET, TRI-NG, TRI-ME. Do método ELECTRE TRI derivam os outros: TRI-C, SET, TRI-NG, TRI-ME, passando assim o ELECTRE TRI a ser denominado ELECTRE TRI-B</w:t>
      </w:r>
      <w:r w:rsidR="00047529">
        <w:rPr>
          <w:rFonts w:ascii="Times New Roman" w:hAnsi="Times New Roman" w:cs="Times New Roman"/>
          <w:sz w:val="24"/>
          <w:szCs w:val="24"/>
        </w:rPr>
        <w:t xml:space="preserve"> </w:t>
      </w:r>
      <w:r w:rsidR="00047529">
        <w:rPr>
          <w:rFonts w:ascii="Times New Roman" w:hAnsi="Times New Roman" w:cs="Times New Roman"/>
          <w:color w:val="000000"/>
          <w:sz w:val="24"/>
          <w:szCs w:val="24"/>
          <w:shd w:val="clear" w:color="auto" w:fill="FFFFFF"/>
        </w:rPr>
        <w:t>(Hora, 2013).</w:t>
      </w:r>
      <w:r w:rsidR="00047529">
        <w:rPr>
          <w:rFonts w:ascii="Times New Roman" w:hAnsi="Times New Roman" w:cs="Times New Roman"/>
          <w:sz w:val="24"/>
          <w:szCs w:val="24"/>
        </w:rPr>
        <w:t xml:space="preserve"> </w:t>
      </w:r>
      <w:r w:rsidRPr="00D71291">
        <w:rPr>
          <w:rFonts w:ascii="Times New Roman" w:hAnsi="Times New Roman" w:cs="Times New Roman"/>
          <w:color w:val="000000"/>
          <w:sz w:val="24"/>
          <w:szCs w:val="24"/>
          <w:shd w:val="clear" w:color="auto" w:fill="FFFFFF"/>
        </w:rPr>
        <w:t xml:space="preserve">Neste trabalho, o ELECTRE TRI-C </w:t>
      </w:r>
      <w:r>
        <w:rPr>
          <w:rFonts w:ascii="Times New Roman" w:hAnsi="Times New Roman" w:cs="Times New Roman"/>
          <w:color w:val="000000"/>
          <w:sz w:val="24"/>
          <w:szCs w:val="24"/>
          <w:shd w:val="clear" w:color="auto" w:fill="FFFFFF"/>
        </w:rPr>
        <w:t>será o método utilizado</w:t>
      </w:r>
      <w:r w:rsidR="00047529">
        <w:rPr>
          <w:rFonts w:ascii="Times New Roman" w:hAnsi="Times New Roman" w:cs="Times New Roman"/>
          <w:color w:val="000000"/>
          <w:sz w:val="24"/>
          <w:szCs w:val="24"/>
          <w:shd w:val="clear" w:color="auto" w:fill="FFFFFF"/>
        </w:rPr>
        <w:t xml:space="preserve"> </w:t>
      </w:r>
    </w:p>
    <w:p w:rsidR="00250431" w:rsidRDefault="00D71291" w:rsidP="00250431">
      <w:pPr>
        <w:spacing w:line="360" w:lineRule="auto"/>
        <w:ind w:firstLine="708"/>
        <w:jc w:val="both"/>
        <w:outlineLvl w:val="2"/>
        <w:rPr>
          <w:rFonts w:ascii="Times New Roman" w:hAnsi="Times New Roman" w:cs="Times New Roman"/>
          <w:sz w:val="24"/>
          <w:szCs w:val="24"/>
        </w:rPr>
      </w:pPr>
      <w:bookmarkStart w:id="6" w:name="_Toc421988022"/>
      <w:bookmarkStart w:id="7" w:name="_Toc422091595"/>
      <w:bookmarkStart w:id="8" w:name="_Toc422125441"/>
      <w:r w:rsidRPr="00D71291">
        <w:rPr>
          <w:rFonts w:ascii="Times New Roman" w:hAnsi="Times New Roman" w:cs="Times New Roman"/>
          <w:sz w:val="24"/>
          <w:szCs w:val="24"/>
        </w:rPr>
        <w:t xml:space="preserve">O método ELECTRE TRI-C, proposto por Almeida-Dias </w:t>
      </w:r>
      <w:proofErr w:type="gramStart"/>
      <w:r w:rsidRPr="0046311F">
        <w:rPr>
          <w:rFonts w:ascii="Times New Roman" w:hAnsi="Times New Roman" w:cs="Times New Roman"/>
          <w:i/>
          <w:sz w:val="24"/>
          <w:szCs w:val="24"/>
        </w:rPr>
        <w:t>et</w:t>
      </w:r>
      <w:proofErr w:type="gramEnd"/>
      <w:r w:rsidRPr="0046311F">
        <w:rPr>
          <w:rFonts w:ascii="Times New Roman" w:hAnsi="Times New Roman" w:cs="Times New Roman"/>
          <w:i/>
          <w:sz w:val="24"/>
          <w:szCs w:val="24"/>
        </w:rPr>
        <w:t xml:space="preserve"> al</w:t>
      </w:r>
      <w:r w:rsidRPr="00D71291">
        <w:rPr>
          <w:rFonts w:ascii="Times New Roman" w:hAnsi="Times New Roman" w:cs="Times New Roman"/>
          <w:sz w:val="24"/>
          <w:szCs w:val="24"/>
        </w:rPr>
        <w:t xml:space="preserve">. (2010), é </w:t>
      </w:r>
      <w:r w:rsidR="009B4141">
        <w:rPr>
          <w:rFonts w:ascii="Times New Roman" w:hAnsi="Times New Roman" w:cs="Times New Roman"/>
          <w:sz w:val="24"/>
          <w:szCs w:val="24"/>
        </w:rPr>
        <w:t xml:space="preserve">um método de classificação </w:t>
      </w:r>
      <w:r w:rsidRPr="00D71291">
        <w:rPr>
          <w:rFonts w:ascii="Times New Roman" w:hAnsi="Times New Roman" w:cs="Times New Roman"/>
          <w:sz w:val="24"/>
          <w:szCs w:val="24"/>
        </w:rPr>
        <w:t xml:space="preserve">recomendado para situações nas quais as alternativas podem ser alocadas em categorias pré-definidas, através de avaliação de múltiplos critérios. </w:t>
      </w:r>
      <w:r w:rsidR="00250431">
        <w:rPr>
          <w:rFonts w:ascii="Times New Roman" w:hAnsi="Times New Roman" w:cs="Times New Roman"/>
          <w:sz w:val="24"/>
          <w:szCs w:val="24"/>
        </w:rPr>
        <w:t>É uma derivação do ELECTRE TRI-B e foi</w:t>
      </w:r>
      <w:r w:rsidR="00250431" w:rsidRPr="00D71291">
        <w:rPr>
          <w:rFonts w:ascii="Times New Roman" w:hAnsi="Times New Roman" w:cs="Times New Roman"/>
          <w:sz w:val="24"/>
          <w:szCs w:val="24"/>
        </w:rPr>
        <w:t xml:space="preserve"> desenvolvido para ser utilizado em problemas onde é difícil a definição das fronteiras</w:t>
      </w:r>
      <w:r w:rsidR="00250431">
        <w:rPr>
          <w:rFonts w:ascii="Times New Roman" w:hAnsi="Times New Roman" w:cs="Times New Roman"/>
          <w:sz w:val="24"/>
          <w:szCs w:val="24"/>
        </w:rPr>
        <w:t xml:space="preserve">. </w:t>
      </w:r>
      <w:r w:rsidRPr="00D71291">
        <w:rPr>
          <w:rFonts w:ascii="Times New Roman" w:hAnsi="Times New Roman" w:cs="Times New Roman"/>
          <w:sz w:val="24"/>
          <w:szCs w:val="24"/>
        </w:rPr>
        <w:t>Diferentemente do ELECTRE TRI-B que utiliza duas fronteiras ou bordas para determinar uma categoria, o ELECTRE TRI-C utiliza uma ação de referência de uma única característica p</w:t>
      </w:r>
      <w:r w:rsidR="00250431">
        <w:rPr>
          <w:rFonts w:ascii="Times New Roman" w:hAnsi="Times New Roman" w:cs="Times New Roman"/>
          <w:sz w:val="24"/>
          <w:szCs w:val="24"/>
        </w:rPr>
        <w:t>ara classificar as alternativas</w:t>
      </w:r>
      <w:r w:rsidRPr="00D71291">
        <w:rPr>
          <w:rFonts w:ascii="Times New Roman" w:hAnsi="Times New Roman" w:cs="Times New Roman"/>
          <w:sz w:val="24"/>
          <w:szCs w:val="24"/>
        </w:rPr>
        <w:t>.</w:t>
      </w:r>
      <w:bookmarkEnd w:id="6"/>
      <w:bookmarkEnd w:id="7"/>
      <w:bookmarkEnd w:id="8"/>
      <w:r w:rsidR="009B4141">
        <w:rPr>
          <w:rFonts w:ascii="Times New Roman" w:hAnsi="Times New Roman" w:cs="Times New Roman"/>
          <w:sz w:val="24"/>
          <w:szCs w:val="24"/>
        </w:rPr>
        <w:t xml:space="preserve"> A</w:t>
      </w:r>
      <w:r w:rsidR="00250431">
        <w:rPr>
          <w:rFonts w:ascii="Times New Roman" w:hAnsi="Times New Roman" w:cs="Times New Roman"/>
          <w:sz w:val="24"/>
          <w:szCs w:val="24"/>
        </w:rPr>
        <w:t>s</w:t>
      </w:r>
      <w:r w:rsidR="009B4141">
        <w:rPr>
          <w:rFonts w:ascii="Times New Roman" w:hAnsi="Times New Roman" w:cs="Times New Roman"/>
          <w:sz w:val="24"/>
          <w:szCs w:val="24"/>
        </w:rPr>
        <w:t xml:space="preserve"> figura</w:t>
      </w:r>
      <w:r w:rsidR="00250431">
        <w:rPr>
          <w:rFonts w:ascii="Times New Roman" w:hAnsi="Times New Roman" w:cs="Times New Roman"/>
          <w:sz w:val="24"/>
          <w:szCs w:val="24"/>
        </w:rPr>
        <w:t>s</w:t>
      </w:r>
      <w:r w:rsidR="009B4141">
        <w:rPr>
          <w:rFonts w:ascii="Times New Roman" w:hAnsi="Times New Roman" w:cs="Times New Roman"/>
          <w:sz w:val="24"/>
          <w:szCs w:val="24"/>
        </w:rPr>
        <w:t xml:space="preserve"> 1</w:t>
      </w:r>
      <w:r w:rsidR="00250431">
        <w:rPr>
          <w:rFonts w:ascii="Times New Roman" w:hAnsi="Times New Roman" w:cs="Times New Roman"/>
          <w:sz w:val="24"/>
          <w:szCs w:val="24"/>
        </w:rPr>
        <w:t xml:space="preserve"> e 2</w:t>
      </w:r>
      <w:r w:rsidR="009B4141">
        <w:rPr>
          <w:rFonts w:ascii="Times New Roman" w:hAnsi="Times New Roman" w:cs="Times New Roman"/>
          <w:sz w:val="24"/>
          <w:szCs w:val="24"/>
        </w:rPr>
        <w:t xml:space="preserve"> ilustra</w:t>
      </w:r>
      <w:r w:rsidR="00250431">
        <w:rPr>
          <w:rFonts w:ascii="Times New Roman" w:hAnsi="Times New Roman" w:cs="Times New Roman"/>
          <w:sz w:val="24"/>
          <w:szCs w:val="24"/>
        </w:rPr>
        <w:t>m</w:t>
      </w:r>
      <w:r w:rsidR="009B4141">
        <w:rPr>
          <w:rFonts w:ascii="Times New Roman" w:hAnsi="Times New Roman" w:cs="Times New Roman"/>
          <w:sz w:val="24"/>
          <w:szCs w:val="24"/>
        </w:rPr>
        <w:t xml:space="preserve"> a diferença</w:t>
      </w:r>
      <w:r w:rsidR="00250431">
        <w:rPr>
          <w:rFonts w:ascii="Times New Roman" w:hAnsi="Times New Roman" w:cs="Times New Roman"/>
          <w:sz w:val="24"/>
          <w:szCs w:val="24"/>
        </w:rPr>
        <w:t xml:space="preserve"> nas definições das categoriasdos métodos </w:t>
      </w:r>
      <w:r w:rsidR="009B4141">
        <w:rPr>
          <w:rFonts w:ascii="Times New Roman" w:hAnsi="Times New Roman" w:cs="Times New Roman"/>
          <w:sz w:val="24"/>
          <w:szCs w:val="24"/>
        </w:rPr>
        <w:t>ELECTRE TRI-B e o ELECTRE TRI-C.</w:t>
      </w:r>
    </w:p>
    <w:p w:rsidR="009B4141" w:rsidRPr="00D71291" w:rsidRDefault="009B4141" w:rsidP="00250431">
      <w:pPr>
        <w:spacing w:line="360" w:lineRule="auto"/>
        <w:ind w:firstLine="708"/>
        <w:jc w:val="both"/>
        <w:outlineLvl w:val="2"/>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E3D2F12" wp14:editId="3C43B6FB">
            <wp:extent cx="5105249" cy="976923"/>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456" cy="977154"/>
                    </a:xfrm>
                    <a:prstGeom prst="rect">
                      <a:avLst/>
                    </a:prstGeom>
                    <a:noFill/>
                    <a:ln>
                      <a:noFill/>
                    </a:ln>
                  </pic:spPr>
                </pic:pic>
              </a:graphicData>
            </a:graphic>
          </wp:inline>
        </w:drawing>
      </w:r>
    </w:p>
    <w:p w:rsidR="009B4141" w:rsidRPr="00250431" w:rsidRDefault="009B4141" w:rsidP="00250431">
      <w:pPr>
        <w:spacing w:line="240" w:lineRule="auto"/>
        <w:jc w:val="center"/>
        <w:rPr>
          <w:rFonts w:ascii="Times New Roman" w:eastAsiaTheme="minorEastAsia" w:hAnsi="Times New Roman" w:cs="Times New Roman"/>
          <w:noProof/>
          <w:sz w:val="20"/>
          <w:szCs w:val="20"/>
          <w:lang w:eastAsia="pt-BR"/>
        </w:rPr>
      </w:pPr>
      <w:r w:rsidRPr="00250431">
        <w:rPr>
          <w:rFonts w:ascii="Times New Roman" w:hAnsi="Times New Roman" w:cs="Times New Roman"/>
          <w:noProof/>
          <w:sz w:val="20"/>
          <w:szCs w:val="20"/>
          <w:lang w:eastAsia="pt-BR"/>
        </w:rPr>
        <w:t xml:space="preserve">Figura 1- Ilustração dos limites das </w:t>
      </w:r>
      <m:oMath>
        <m:r>
          <w:rPr>
            <w:rFonts w:ascii="Cambria Math" w:hAnsi="Cambria Math" w:cs="Times New Roman"/>
            <w:noProof/>
            <w:sz w:val="20"/>
            <w:szCs w:val="20"/>
            <w:lang w:eastAsia="pt-BR"/>
          </w:rPr>
          <m:t>r</m:t>
        </m:r>
      </m:oMath>
      <w:r w:rsidRPr="00250431">
        <w:rPr>
          <w:rFonts w:ascii="Times New Roman" w:eastAsiaTheme="minorEastAsia" w:hAnsi="Times New Roman" w:cs="Times New Roman"/>
          <w:noProof/>
          <w:sz w:val="20"/>
          <w:szCs w:val="20"/>
          <w:lang w:eastAsia="pt-BR"/>
        </w:rPr>
        <w:t xml:space="preserve"> categorias ordenadas do ELECTRE TRI-B</w:t>
      </w:r>
      <w:r w:rsidR="00250431" w:rsidRPr="00250431">
        <w:rPr>
          <w:rFonts w:ascii="Times New Roman" w:eastAsiaTheme="minorEastAsia" w:hAnsi="Times New Roman" w:cs="Times New Roman"/>
          <w:noProof/>
          <w:sz w:val="20"/>
          <w:szCs w:val="20"/>
          <w:lang w:eastAsia="pt-BR"/>
        </w:rPr>
        <w:t>.</w:t>
      </w:r>
    </w:p>
    <w:p w:rsidR="009B4141" w:rsidRPr="00250431" w:rsidRDefault="009B4141" w:rsidP="00250431">
      <w:pPr>
        <w:spacing w:line="240" w:lineRule="auto"/>
        <w:jc w:val="center"/>
        <w:rPr>
          <w:rFonts w:ascii="Times New Roman" w:hAnsi="Times New Roman" w:cs="Times New Roman"/>
          <w:noProof/>
          <w:sz w:val="20"/>
          <w:szCs w:val="20"/>
          <w:lang w:eastAsia="pt-BR"/>
        </w:rPr>
      </w:pPr>
      <w:r w:rsidRPr="00250431">
        <w:rPr>
          <w:rFonts w:ascii="Times New Roman" w:eastAsiaTheme="minorEastAsia" w:hAnsi="Times New Roman" w:cs="Times New Roman"/>
          <w:noProof/>
          <w:sz w:val="20"/>
          <w:szCs w:val="20"/>
          <w:lang w:eastAsia="pt-BR"/>
        </w:rPr>
        <w:t>Fonte: Bouyssou e Marchant (2013)</w:t>
      </w:r>
      <w:r w:rsidR="00250431" w:rsidRPr="00250431">
        <w:rPr>
          <w:rFonts w:ascii="Times New Roman" w:eastAsiaTheme="minorEastAsia" w:hAnsi="Times New Roman" w:cs="Times New Roman"/>
          <w:noProof/>
          <w:sz w:val="20"/>
          <w:szCs w:val="20"/>
          <w:lang w:eastAsia="pt-BR"/>
        </w:rPr>
        <w:t>.</w:t>
      </w:r>
    </w:p>
    <w:p w:rsidR="009B4141" w:rsidRDefault="009B4141" w:rsidP="009B4141">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0CCF952D" wp14:editId="129A9899">
            <wp:extent cx="5400040" cy="1008261"/>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008261"/>
                    </a:xfrm>
                    <a:prstGeom prst="rect">
                      <a:avLst/>
                    </a:prstGeom>
                    <a:noFill/>
                    <a:ln>
                      <a:noFill/>
                    </a:ln>
                  </pic:spPr>
                </pic:pic>
              </a:graphicData>
            </a:graphic>
          </wp:inline>
        </w:drawing>
      </w:r>
    </w:p>
    <w:p w:rsidR="009B4141" w:rsidRPr="00250431" w:rsidRDefault="009B4141" w:rsidP="00250431">
      <w:pPr>
        <w:spacing w:line="240" w:lineRule="auto"/>
        <w:jc w:val="center"/>
        <w:rPr>
          <w:rFonts w:ascii="Times New Roman" w:eastAsiaTheme="minorEastAsia" w:hAnsi="Times New Roman" w:cs="Times New Roman"/>
          <w:noProof/>
          <w:sz w:val="20"/>
          <w:szCs w:val="20"/>
          <w:lang w:eastAsia="pt-BR"/>
        </w:rPr>
      </w:pPr>
      <w:r w:rsidRPr="00250431">
        <w:rPr>
          <w:rFonts w:ascii="Times New Roman" w:hAnsi="Times New Roman" w:cs="Times New Roman"/>
          <w:noProof/>
          <w:sz w:val="20"/>
          <w:szCs w:val="20"/>
          <w:lang w:eastAsia="pt-BR"/>
        </w:rPr>
        <w:t xml:space="preserve">Figura </w:t>
      </w:r>
      <w:r w:rsidR="00570C55">
        <w:rPr>
          <w:rFonts w:ascii="Times New Roman" w:hAnsi="Times New Roman" w:cs="Times New Roman"/>
          <w:noProof/>
          <w:sz w:val="20"/>
          <w:szCs w:val="20"/>
          <w:lang w:eastAsia="pt-BR"/>
        </w:rPr>
        <w:t>2</w:t>
      </w:r>
      <w:r w:rsidRPr="00250431">
        <w:rPr>
          <w:rFonts w:ascii="Times New Roman" w:hAnsi="Times New Roman" w:cs="Times New Roman"/>
          <w:noProof/>
          <w:sz w:val="20"/>
          <w:szCs w:val="20"/>
          <w:lang w:eastAsia="pt-BR"/>
        </w:rPr>
        <w:t>- Ilustração d</w:t>
      </w:r>
      <w:r w:rsidR="00250431" w:rsidRPr="00250431">
        <w:rPr>
          <w:rFonts w:ascii="Times New Roman" w:hAnsi="Times New Roman" w:cs="Times New Roman"/>
          <w:noProof/>
          <w:sz w:val="20"/>
          <w:szCs w:val="20"/>
          <w:lang w:eastAsia="pt-BR"/>
        </w:rPr>
        <w:t xml:space="preserve">as açoes de referência </w:t>
      </w:r>
      <w:r w:rsidRPr="00250431">
        <w:rPr>
          <w:rFonts w:ascii="Times New Roman" w:hAnsi="Times New Roman" w:cs="Times New Roman"/>
          <w:noProof/>
          <w:sz w:val="20"/>
          <w:szCs w:val="20"/>
          <w:lang w:eastAsia="pt-BR"/>
        </w:rPr>
        <w:t xml:space="preserve">das </w:t>
      </w:r>
      <m:oMath>
        <m:r>
          <w:rPr>
            <w:rFonts w:ascii="Cambria Math" w:hAnsi="Cambria Math" w:cs="Times New Roman"/>
            <w:noProof/>
            <w:sz w:val="20"/>
            <w:szCs w:val="20"/>
            <w:lang w:eastAsia="pt-BR"/>
          </w:rPr>
          <m:t>r</m:t>
        </m:r>
      </m:oMath>
      <w:r w:rsidRPr="00250431">
        <w:rPr>
          <w:rFonts w:ascii="Times New Roman" w:eastAsiaTheme="minorEastAsia" w:hAnsi="Times New Roman" w:cs="Times New Roman"/>
          <w:noProof/>
          <w:sz w:val="20"/>
          <w:szCs w:val="20"/>
          <w:lang w:eastAsia="pt-BR"/>
        </w:rPr>
        <w:t xml:space="preserve"> categorias ordenadas do ELECTRE TRI-C</w:t>
      </w:r>
      <w:r w:rsidR="00250431" w:rsidRPr="00250431">
        <w:rPr>
          <w:rFonts w:ascii="Times New Roman" w:eastAsiaTheme="minorEastAsia" w:hAnsi="Times New Roman" w:cs="Times New Roman"/>
          <w:noProof/>
          <w:sz w:val="20"/>
          <w:szCs w:val="20"/>
          <w:lang w:eastAsia="pt-BR"/>
        </w:rPr>
        <w:t>.</w:t>
      </w:r>
    </w:p>
    <w:p w:rsidR="009B4141" w:rsidRPr="00250431" w:rsidRDefault="009B4141" w:rsidP="00250431">
      <w:pPr>
        <w:spacing w:line="240" w:lineRule="auto"/>
        <w:jc w:val="center"/>
        <w:rPr>
          <w:rFonts w:ascii="Times New Roman" w:hAnsi="Times New Roman" w:cs="Times New Roman"/>
          <w:noProof/>
          <w:sz w:val="20"/>
          <w:szCs w:val="20"/>
          <w:lang w:eastAsia="pt-BR"/>
        </w:rPr>
      </w:pPr>
      <w:r w:rsidRPr="00250431">
        <w:rPr>
          <w:rFonts w:ascii="Times New Roman" w:eastAsiaTheme="minorEastAsia" w:hAnsi="Times New Roman" w:cs="Times New Roman"/>
          <w:noProof/>
          <w:sz w:val="20"/>
          <w:szCs w:val="20"/>
          <w:lang w:eastAsia="pt-BR"/>
        </w:rPr>
        <w:t>Fonte: Bouyssou e Marchant (2013)</w:t>
      </w:r>
      <w:r w:rsidR="00250431" w:rsidRPr="00250431">
        <w:rPr>
          <w:rFonts w:ascii="Times New Roman" w:eastAsiaTheme="minorEastAsia" w:hAnsi="Times New Roman" w:cs="Times New Roman"/>
          <w:noProof/>
          <w:sz w:val="20"/>
          <w:szCs w:val="20"/>
          <w:lang w:eastAsia="pt-BR"/>
        </w:rPr>
        <w:t>.</w:t>
      </w:r>
    </w:p>
    <w:p w:rsidR="005E5A7D" w:rsidRPr="00BA2736" w:rsidRDefault="00D71291" w:rsidP="00D34C88">
      <w:pPr>
        <w:spacing w:line="360" w:lineRule="auto"/>
        <w:ind w:firstLine="708"/>
        <w:jc w:val="both"/>
        <w:rPr>
          <w:rFonts w:ascii="Times New Roman" w:hAnsi="Times New Roman" w:cs="Times New Roman"/>
          <w:sz w:val="24"/>
          <w:szCs w:val="24"/>
        </w:rPr>
      </w:pPr>
      <w:r w:rsidRPr="00D71291">
        <w:rPr>
          <w:rFonts w:ascii="Times New Roman" w:hAnsi="Times New Roman" w:cs="Times New Roman"/>
          <w:sz w:val="24"/>
          <w:szCs w:val="24"/>
        </w:rPr>
        <w:t>No ELECTRE TRI-C define-se primeiro o conjunto de ações potenciais</w:t>
      </w:r>
      <m:oMath>
        <m:r>
          <w:rPr>
            <w:rFonts w:ascii="Cambria Math" w:hAnsi="Cambria Math" w:cs="Times New Roman"/>
            <w:sz w:val="24"/>
            <w:szCs w:val="24"/>
          </w:rPr>
          <m:t>A=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oMath>
      <w:r w:rsidRPr="00D71291">
        <w:rPr>
          <w:rFonts w:ascii="Times New Roman" w:hAnsi="Times New Roman" w:cs="Times New Roman"/>
          <w:sz w:val="24"/>
          <w:szCs w:val="24"/>
        </w:rPr>
        <w:t xml:space="preserve">, que será distribuído nas categorias completamente ordenadas </w:t>
      </w:r>
      <m:oMath>
        <m:r>
          <w:rPr>
            <w:rFonts w:ascii="Cambria Math" w:hAnsi="Cambria Math" w:cs="Times New Roman"/>
            <w:sz w:val="24"/>
            <w:szCs w:val="24"/>
          </w:rPr>
          <m:t>C=</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e>
        </m:d>
      </m:oMath>
      <w:r w:rsidRPr="00D71291">
        <w:rPr>
          <w:rFonts w:ascii="Times New Roman" w:eastAsiaTheme="minorEastAsia" w:hAnsi="Times New Roman" w:cs="Times New Roman"/>
          <w:sz w:val="24"/>
          <w:szCs w:val="24"/>
        </w:rPr>
        <w:t xml:space="preserve"> s</w:t>
      </w:r>
      <w:r w:rsidRPr="00D71291">
        <w:rPr>
          <w:rFonts w:ascii="Times New Roman" w:hAnsi="Times New Roman" w:cs="Times New Roman"/>
          <w:sz w:val="24"/>
          <w:szCs w:val="24"/>
        </w:rPr>
        <w:t>endo</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Pr="00D71291">
        <w:rPr>
          <w:rFonts w:ascii="Times New Roman" w:hAnsi="Times New Roman" w:cs="Times New Roman"/>
          <w:sz w:val="24"/>
          <w:szCs w:val="24"/>
        </w:rPr>
        <w:t xml:space="preserve">a pior categoria 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D71291">
        <w:rPr>
          <w:rFonts w:ascii="Times New Roman" w:hAnsi="Times New Roman" w:cs="Times New Roman"/>
          <w:sz w:val="24"/>
          <w:szCs w:val="24"/>
        </w:rPr>
        <w:t xml:space="preserve"> a melhor. Deve-se também determinar os critérios </w:t>
      </w:r>
      <m:oMath>
        <m:r>
          <w:rPr>
            <w:rFonts w:ascii="Cambria Math" w:hAnsi="Cambria Math" w:cs="Times New Roman"/>
            <w:sz w:val="24"/>
            <w:szCs w:val="24"/>
          </w:rPr>
          <m:t>F=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n</m:t>
            </m:r>
          </m:sub>
        </m:sSub>
        <m:r>
          <w:rPr>
            <w:rFonts w:ascii="Cambria Math" w:hAnsi="Cambria Math" w:cs="Times New Roman"/>
            <w:sz w:val="24"/>
            <w:szCs w:val="24"/>
          </w:rPr>
          <m:t>}</m:t>
        </m:r>
      </m:oMath>
      <w:r w:rsidRPr="00D71291">
        <w:rPr>
          <w:rFonts w:ascii="Times New Roman" w:hAnsi="Times New Roman" w:cs="Times New Roman"/>
          <w:sz w:val="24"/>
          <w:szCs w:val="24"/>
        </w:rPr>
        <w:t xml:space="preserve"> serão utilizados para avaliar as alternativas. Os critérios têm vetores de </w:t>
      </w:r>
      <w:r w:rsidRPr="00D71291">
        <w:rPr>
          <w:rFonts w:ascii="Times New Roman" w:hAnsi="Times New Roman" w:cs="Times New Roman"/>
          <w:sz w:val="24"/>
          <w:szCs w:val="24"/>
        </w:rPr>
        <w:lastRenderedPageBreak/>
        <w:t xml:space="preserve">peso, que podem ser interpretados como poder de voto, denotados por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oMath>
      <w:r w:rsidRPr="00D71291">
        <w:rPr>
          <w:rFonts w:ascii="Times New Roman" w:eastAsiaTheme="minorEastAsia" w:hAnsi="Times New Roman" w:cs="Times New Roman"/>
          <w:sz w:val="24"/>
          <w:szCs w:val="24"/>
        </w:rPr>
        <w:t>,</w:t>
      </w:r>
      <w:r w:rsidRPr="00D71291">
        <w:rPr>
          <w:rFonts w:ascii="Times New Roman" w:hAnsi="Times New Roman" w:cs="Times New Roman"/>
          <w:sz w:val="24"/>
          <w:szCs w:val="24"/>
        </w:rPr>
        <w:t xml:space="preserve"> tal que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&gt;0</m:t>
        </m:r>
      </m:oMath>
      <w:r w:rsidRPr="00D7129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j=1,…, n</m:t>
        </m:r>
      </m:oMath>
      <w:r w:rsidRPr="00D71291">
        <w:rPr>
          <w:rFonts w:ascii="Times New Roman" w:eastAsiaTheme="minorEastAsia" w:hAnsi="Times New Roman" w:cs="Times New Roman"/>
          <w:sz w:val="24"/>
          <w:szCs w:val="24"/>
        </w:rPr>
        <w:t xml:space="preserve"> e assumindo que </w:t>
      </w:r>
      <m:oMath>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=1</m:t>
            </m:r>
          </m:e>
        </m:nary>
      </m:oMath>
      <w:r w:rsidR="0001756E">
        <w:rPr>
          <w:rFonts w:ascii="Times New Roman" w:eastAsiaTheme="minorEastAsia" w:hAnsi="Times New Roman" w:cs="Times New Roman"/>
          <w:sz w:val="24"/>
          <w:szCs w:val="24"/>
        </w:rPr>
        <w:t xml:space="preserve"> (Pereira e Mota</w:t>
      </w:r>
      <w:r w:rsidRPr="00D71291">
        <w:rPr>
          <w:rFonts w:ascii="Times New Roman" w:eastAsiaTheme="minorEastAsia" w:hAnsi="Times New Roman" w:cs="Times New Roman"/>
          <w:sz w:val="24"/>
          <w:szCs w:val="24"/>
        </w:rPr>
        <w:t>, 201</w:t>
      </w:r>
      <w:r w:rsidR="0001756E">
        <w:rPr>
          <w:rFonts w:ascii="Times New Roman" w:eastAsiaTheme="minorEastAsia" w:hAnsi="Times New Roman" w:cs="Times New Roman"/>
          <w:sz w:val="24"/>
          <w:szCs w:val="24"/>
        </w:rPr>
        <w:t>4</w:t>
      </w:r>
      <w:r w:rsidRPr="00D71291">
        <w:rPr>
          <w:rFonts w:ascii="Times New Roman" w:eastAsiaTheme="minorEastAsia" w:hAnsi="Times New Roman" w:cs="Times New Roman"/>
          <w:sz w:val="24"/>
          <w:szCs w:val="24"/>
        </w:rPr>
        <w:t>).</w:t>
      </w:r>
      <w:r w:rsidR="00D34C88">
        <w:rPr>
          <w:rFonts w:ascii="Times New Roman" w:hAnsi="Times New Roman" w:cs="Times New Roman"/>
          <w:sz w:val="24"/>
          <w:szCs w:val="24"/>
        </w:rPr>
        <w:t xml:space="preserve"> As</w:t>
      </w:r>
      <w:r w:rsidR="005E5A7D" w:rsidRPr="00BA2736">
        <w:rPr>
          <w:rFonts w:ascii="Times New Roman" w:hAnsi="Times New Roman" w:cs="Times New Roman"/>
          <w:sz w:val="24"/>
          <w:szCs w:val="24"/>
        </w:rPr>
        <w:t xml:space="preserve"> ações </w:t>
      </w:r>
      <w:r w:rsidR="00D34C88">
        <w:rPr>
          <w:rFonts w:ascii="Times New Roman" w:hAnsi="Times New Roman" w:cs="Times New Roman"/>
          <w:sz w:val="24"/>
          <w:szCs w:val="24"/>
        </w:rPr>
        <w:t xml:space="preserve">de referencia também devem ser definidas e </w:t>
      </w:r>
      <w:r w:rsidR="005E5A7D" w:rsidRPr="00BA2736">
        <w:rPr>
          <w:rFonts w:ascii="Times New Roman" w:hAnsi="Times New Roman" w:cs="Times New Roman"/>
          <w:sz w:val="24"/>
          <w:szCs w:val="24"/>
        </w:rPr>
        <w:t xml:space="preserve">representam as categorias que o </w:t>
      </w:r>
      <w:proofErr w:type="spellStart"/>
      <w:r w:rsidR="005E5A7D" w:rsidRPr="00BA2736">
        <w:rPr>
          <w:rFonts w:ascii="Times New Roman" w:hAnsi="Times New Roman" w:cs="Times New Roman"/>
          <w:sz w:val="24"/>
          <w:szCs w:val="24"/>
        </w:rPr>
        <w:t>decisor</w:t>
      </w:r>
      <w:proofErr w:type="spellEnd"/>
      <w:r w:rsidR="005E5A7D" w:rsidRPr="00BA2736">
        <w:rPr>
          <w:rFonts w:ascii="Times New Roman" w:hAnsi="Times New Roman" w:cs="Times New Roman"/>
          <w:sz w:val="24"/>
          <w:szCs w:val="24"/>
        </w:rPr>
        <w:t xml:space="preserve"> considera necessárias para a distribuição das alternativas e são representadas por </w:t>
      </w:r>
      <m:oMath>
        <m:r>
          <w:rPr>
            <w:rFonts w:ascii="Cambria Math" w:hAnsi="Cambria Math" w:cs="Times New Roman"/>
            <w:sz w:val="24"/>
            <w:szCs w:val="24"/>
          </w:rPr>
          <m:t>ω= {</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h</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q</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q+1</m:t>
            </m:r>
          </m:sub>
        </m:sSub>
        <m:r>
          <w:rPr>
            <w:rFonts w:ascii="Cambria Math" w:hAnsi="Cambria Math" w:cs="Times New Roman"/>
            <w:sz w:val="24"/>
            <w:szCs w:val="24"/>
          </w:rPr>
          <m:t>}</m:t>
        </m:r>
      </m:oMath>
      <w:r w:rsidR="005E5A7D" w:rsidRPr="00BA2736">
        <w:rPr>
          <w:rFonts w:ascii="Times New Roman" w:eastAsiaTheme="minorEastAsia" w:hAnsi="Times New Roman" w:cs="Times New Roman"/>
          <w:sz w:val="24"/>
          <w:szCs w:val="24"/>
        </w:rPr>
        <w:t>.</w:t>
      </w:r>
    </w:p>
    <w:p w:rsidR="005E5A7D" w:rsidRPr="00BA2736" w:rsidRDefault="005E5A7D" w:rsidP="00024231">
      <w:pPr>
        <w:spacing w:line="360" w:lineRule="auto"/>
        <w:ind w:firstLine="708"/>
        <w:jc w:val="both"/>
        <w:rPr>
          <w:rFonts w:ascii="Times New Roman" w:hAnsi="Times New Roman" w:cs="Times New Roman"/>
          <w:sz w:val="24"/>
          <w:szCs w:val="24"/>
        </w:rPr>
      </w:pPr>
      <w:r>
        <w:rPr>
          <w:rFonts w:ascii="Times New Roman" w:eastAsiaTheme="minorEastAsia" w:hAnsi="Times New Roman" w:cs="Times New Roman"/>
          <w:sz w:val="24"/>
          <w:szCs w:val="24"/>
        </w:rPr>
        <w:t>D</w:t>
      </w:r>
      <w:r w:rsidRPr="00BA2736">
        <w:rPr>
          <w:rFonts w:ascii="Times New Roman" w:eastAsiaTheme="minorEastAsia" w:hAnsi="Times New Roman" w:cs="Times New Roman"/>
          <w:sz w:val="24"/>
          <w:szCs w:val="24"/>
        </w:rPr>
        <w:t xml:space="preserve">evem ser definidos </w:t>
      </w:r>
      <w:r>
        <w:rPr>
          <w:rFonts w:ascii="Times New Roman" w:eastAsiaTheme="minorEastAsia" w:hAnsi="Times New Roman" w:cs="Times New Roman"/>
          <w:sz w:val="24"/>
          <w:szCs w:val="24"/>
        </w:rPr>
        <w:t xml:space="preserve">também os </w:t>
      </w:r>
      <w:r w:rsidRPr="00BA2736">
        <w:rPr>
          <w:rFonts w:ascii="Times New Roman" w:eastAsiaTheme="minorEastAsia" w:hAnsi="Times New Roman" w:cs="Times New Roman"/>
          <w:sz w:val="24"/>
          <w:szCs w:val="24"/>
        </w:rPr>
        <w:t xml:space="preserve">limiares de indiferença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oMath>
      <w:r w:rsidRPr="00BA2736">
        <w:rPr>
          <w:rFonts w:ascii="Times New Roman" w:eastAsiaTheme="minorEastAsia" w:hAnsi="Times New Roman" w:cs="Times New Roman"/>
          <w:sz w:val="24"/>
          <w:szCs w:val="24"/>
        </w:rPr>
        <w:t xml:space="preserve"> e preferência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oMath>
      <w:r w:rsidRPr="00BA2736">
        <w:rPr>
          <w:rFonts w:ascii="Times New Roman" w:eastAsiaTheme="minorEastAsia" w:hAnsi="Times New Roman" w:cs="Times New Roman"/>
          <w:sz w:val="24"/>
          <w:szCs w:val="24"/>
        </w:rPr>
        <w:t xml:space="preserve"> para os critérios, tal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w:proofErr w:type="gramStart"/>
        <m:r>
          <w:rPr>
            <w:rFonts w:ascii="Cambria Math" w:eastAsiaTheme="minorEastAsia" w:hAnsi="Cambria Math" w:cs="Times New Roman"/>
            <w:sz w:val="24"/>
            <w:szCs w:val="24"/>
          </w:rPr>
          <m:t>0</m:t>
        </m:r>
      </m:oMath>
      <w:proofErr w:type="gramEnd"/>
      <w:r w:rsidRPr="00BA2736">
        <w:rPr>
          <w:rFonts w:ascii="Times New Roman" w:eastAsiaTheme="minorEastAsia" w:hAnsi="Times New Roman" w:cs="Times New Roman"/>
          <w:sz w:val="24"/>
          <w:szCs w:val="24"/>
        </w:rPr>
        <w:t xml:space="preserve">. Tais limiares são importantes para a definição correta das categorias e para a construção das relações binárias. </w:t>
      </w:r>
      <w:r w:rsidR="00024231">
        <w:rPr>
          <w:rFonts w:ascii="Times New Roman" w:eastAsiaTheme="minorEastAsia" w:hAnsi="Times New Roman" w:cs="Times New Roman"/>
          <w:sz w:val="24"/>
          <w:szCs w:val="24"/>
        </w:rPr>
        <w:t>Desta forma</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Pr="00BA2736">
        <w:rPr>
          <w:rFonts w:ascii="Times New Roman" w:eastAsiaTheme="minorEastAsia" w:hAnsi="Times New Roman" w:cs="Times New Roman"/>
          <w:sz w:val="24"/>
          <w:szCs w:val="24"/>
        </w:rPr>
        <w:t xml:space="preserve"> representa uma relação de indiferença </w:t>
      </w:r>
      <w:r w:rsidR="00024231">
        <w:rPr>
          <w:rFonts w:ascii="Times New Roman" w:eastAsiaTheme="minorEastAsia" w:hAnsi="Times New Roman" w:cs="Times New Roman"/>
          <w:sz w:val="24"/>
          <w:szCs w:val="24"/>
        </w:rPr>
        <w:t>entra as ações;</w:t>
      </w:r>
      <m:oMath>
        <m:r>
          <w:rPr>
            <w:rFonts w:ascii="Cambria Math" w:eastAsiaTheme="minorEastAsia" w:hAnsi="Cambria Math" w:cs="Times New Roman"/>
            <w:sz w:val="24"/>
            <w:szCs w:val="24"/>
          </w:rPr>
          <m:t>aIa'</m:t>
        </m:r>
      </m:oMath>
      <w:r w:rsidRPr="00BA273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Pr="00BA2736">
        <w:rPr>
          <w:rFonts w:ascii="Times New Roman" w:eastAsiaTheme="minorEastAsia" w:hAnsi="Times New Roman" w:cs="Times New Roman"/>
          <w:sz w:val="24"/>
          <w:szCs w:val="24"/>
        </w:rPr>
        <w:t xml:space="preserve"> representa relação de estrita preferência da ação </w:t>
      </w:r>
      <m:oMath>
        <m:r>
          <w:rPr>
            <w:rFonts w:ascii="Cambria Math" w:eastAsiaTheme="minorEastAsia" w:hAnsi="Cambria Math" w:cs="Times New Roman"/>
            <w:sz w:val="24"/>
            <w:szCs w:val="24"/>
          </w:rPr>
          <m:t>a</m:t>
        </m:r>
      </m:oMath>
      <w:r w:rsidRPr="00BA2736">
        <w:rPr>
          <w:rFonts w:ascii="Times New Roman" w:eastAsiaTheme="minorEastAsia" w:hAnsi="Times New Roman" w:cs="Times New Roman"/>
          <w:sz w:val="24"/>
          <w:szCs w:val="24"/>
        </w:rPr>
        <w:t xml:space="preserve"> sobre a ação </w:t>
      </w:r>
      <m:oMath>
        <m:r>
          <w:rPr>
            <w:rFonts w:ascii="Cambria Math" w:eastAsiaTheme="minorEastAsia" w:hAnsi="Cambria Math" w:cs="Times New Roman"/>
            <w:sz w:val="24"/>
            <w:szCs w:val="24"/>
          </w:rPr>
          <m:t>a'</m:t>
        </m:r>
      </m:oMath>
      <w:r w:rsidRPr="00BA2736">
        <w:rPr>
          <w:rFonts w:ascii="Times New Roman" w:eastAsiaTheme="minorEastAsia" w:hAnsi="Times New Roman" w:cs="Times New Roman"/>
          <w:sz w:val="24"/>
          <w:szCs w:val="24"/>
        </w:rPr>
        <w:t xml:space="preserve">, ou </w:t>
      </w:r>
      <m:oMath>
        <m:r>
          <w:rPr>
            <w:rFonts w:ascii="Cambria Math" w:eastAsiaTheme="minorEastAsia" w:hAnsi="Cambria Math" w:cs="Times New Roman"/>
            <w:sz w:val="24"/>
            <w:szCs w:val="24"/>
          </w:rPr>
          <m:t>aPa'</m:t>
        </m:r>
      </m:oMath>
      <w:r w:rsidRPr="00BA2736">
        <w:rPr>
          <w:rFonts w:ascii="Times New Roman" w:eastAsiaTheme="minorEastAsia" w:hAnsi="Times New Roman" w:cs="Times New Roman"/>
          <w:sz w:val="24"/>
          <w:szCs w:val="24"/>
        </w:rPr>
        <w:t>; e</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j</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Pr="00BA2736">
        <w:rPr>
          <w:rFonts w:ascii="Times New Roman" w:eastAsiaTheme="minorEastAsia" w:hAnsi="Times New Roman" w:cs="Times New Roman"/>
          <w:sz w:val="24"/>
          <w:szCs w:val="24"/>
        </w:rPr>
        <w:t xml:space="preserve"> representa uma relação de fraca preferência da ação </w:t>
      </w:r>
      <m:oMath>
        <m:r>
          <w:rPr>
            <w:rFonts w:ascii="Cambria Math" w:eastAsiaTheme="minorEastAsia" w:hAnsi="Cambria Math" w:cs="Times New Roman"/>
            <w:sz w:val="24"/>
            <w:szCs w:val="24"/>
          </w:rPr>
          <m:t>a</m:t>
        </m:r>
      </m:oMath>
      <w:r w:rsidRPr="00BA2736">
        <w:rPr>
          <w:rFonts w:ascii="Times New Roman" w:eastAsiaTheme="minorEastAsia" w:hAnsi="Times New Roman" w:cs="Times New Roman"/>
          <w:sz w:val="24"/>
          <w:szCs w:val="24"/>
        </w:rPr>
        <w:t xml:space="preserve"> sobre </w:t>
      </w:r>
      <m:oMath>
        <m:r>
          <w:rPr>
            <w:rFonts w:ascii="Cambria Math" w:eastAsiaTheme="minorEastAsia" w:hAnsi="Cambria Math" w:cs="Times New Roman"/>
            <w:sz w:val="24"/>
            <w:szCs w:val="24"/>
          </w:rPr>
          <m:t>a'</m:t>
        </m:r>
      </m:oMath>
      <w:r w:rsidRPr="00BA2736">
        <w:rPr>
          <w:rFonts w:ascii="Times New Roman" w:eastAsiaTheme="minorEastAsia" w:hAnsi="Times New Roman" w:cs="Times New Roman"/>
          <w:sz w:val="24"/>
          <w:szCs w:val="24"/>
        </w:rPr>
        <w:t xml:space="preserve">, ou </w:t>
      </w:r>
      <m:oMath>
        <m:r>
          <w:rPr>
            <w:rFonts w:ascii="Cambria Math" w:eastAsiaTheme="minorEastAsia" w:hAnsi="Cambria Math" w:cs="Times New Roman"/>
            <w:sz w:val="24"/>
            <w:szCs w:val="24"/>
          </w:rPr>
          <m:t>aQa'</m:t>
        </m:r>
      </m:oMath>
      <w:r w:rsidRPr="00BA2736">
        <w:rPr>
          <w:rFonts w:ascii="Times New Roman" w:eastAsiaTheme="minorEastAsia" w:hAnsi="Times New Roman" w:cs="Times New Roman"/>
          <w:sz w:val="24"/>
          <w:szCs w:val="24"/>
        </w:rPr>
        <w:t xml:space="preserve">. </w:t>
      </w:r>
    </w:p>
    <w:p w:rsidR="005E5A7D" w:rsidRPr="00D962B8" w:rsidRDefault="005E5A7D" w:rsidP="005E5A7D">
      <w:pPr>
        <w:spacing w:line="360" w:lineRule="auto"/>
        <w:ind w:firstLine="708"/>
        <w:jc w:val="both"/>
        <w:rPr>
          <w:rFonts w:ascii="Times New Roman" w:eastAsiaTheme="minorEastAsia" w:hAnsi="Times New Roman" w:cs="Times New Roman"/>
          <w:sz w:val="18"/>
          <w:szCs w:val="18"/>
        </w:rPr>
      </w:pPr>
      <w:r w:rsidRPr="00BA2736">
        <w:rPr>
          <w:rFonts w:ascii="Times New Roman" w:eastAsiaTheme="minorEastAsia" w:hAnsi="Times New Roman" w:cs="Times New Roman"/>
          <w:sz w:val="24"/>
          <w:szCs w:val="24"/>
        </w:rPr>
        <w:t xml:space="preserve">Após verificar as relações entre as alternativas e as ações de referência, o índice de concordância </w:t>
      </w:r>
      <m:oMath>
        <m:r>
          <w:rPr>
            <w:rFonts w:ascii="Cambria Math" w:eastAsiaTheme="minorEastAsia" w:hAnsi="Cambria Math" w:cs="Times New Roman"/>
            <w:sz w:val="24"/>
            <w:szCs w:val="24"/>
          </w:rPr>
          <m:t xml:space="preserve">C(a,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Pr="00BA2736">
        <w:rPr>
          <w:rFonts w:ascii="Times New Roman" w:eastAsiaTheme="minorEastAsia" w:hAnsi="Times New Roman" w:cs="Times New Roman"/>
          <w:sz w:val="24"/>
          <w:szCs w:val="24"/>
        </w:rPr>
        <w:t xml:space="preserve"> pode ser calculado conforme a equação </w:t>
      </w:r>
      <w:proofErr w:type="gramStart"/>
      <w:r w:rsidR="0046311F">
        <w:rPr>
          <w:rFonts w:ascii="Times New Roman" w:eastAsiaTheme="minorEastAsia" w:hAnsi="Times New Roman" w:cs="Times New Roman"/>
          <w:sz w:val="24"/>
          <w:szCs w:val="24"/>
        </w:rPr>
        <w:t>2</w:t>
      </w:r>
      <w:proofErr w:type="gramEnd"/>
      <w:r w:rsidRPr="00BA2736">
        <w:rPr>
          <w:rFonts w:ascii="Times New Roman" w:eastAsiaTheme="minorEastAsia" w:hAnsi="Times New Roman" w:cs="Times New Roman"/>
          <w:sz w:val="24"/>
          <w:szCs w:val="24"/>
        </w:rPr>
        <w:t>:</w:t>
      </w:r>
    </w:p>
    <w:tbl>
      <w:tblPr>
        <w:tblW w:w="4162" w:type="pct"/>
        <w:tblLook w:val="04A0" w:firstRow="1" w:lastRow="0" w:firstColumn="1" w:lastColumn="0" w:noHBand="0" w:noVBand="1"/>
      </w:tblPr>
      <w:tblGrid>
        <w:gridCol w:w="594"/>
        <w:gridCol w:w="6533"/>
        <w:gridCol w:w="603"/>
      </w:tblGrid>
      <w:tr w:rsidR="005E5A7D" w:rsidRPr="00D962B8" w:rsidTr="00DA5641">
        <w:tc>
          <w:tcPr>
            <w:tcW w:w="384" w:type="pct"/>
            <w:tcBorders>
              <w:top w:val="nil"/>
              <w:left w:val="nil"/>
              <w:bottom w:val="nil"/>
              <w:right w:val="nil"/>
            </w:tcBorders>
          </w:tcPr>
          <w:p w:rsidR="005E5A7D" w:rsidRPr="00D962B8" w:rsidRDefault="005E5A7D" w:rsidP="00DA5641">
            <w:pPr>
              <w:pStyle w:val="PargrafodaLista"/>
              <w:spacing w:line="360" w:lineRule="auto"/>
              <w:ind w:left="0"/>
              <w:jc w:val="both"/>
              <w:rPr>
                <w:rFonts w:ascii="Times New Roman" w:hAnsi="Times New Roman" w:cs="Times New Roman"/>
                <w:sz w:val="18"/>
                <w:szCs w:val="18"/>
              </w:rPr>
            </w:pPr>
          </w:p>
        </w:tc>
        <w:tc>
          <w:tcPr>
            <w:tcW w:w="4226" w:type="pct"/>
            <w:tcBorders>
              <w:top w:val="nil"/>
              <w:left w:val="nil"/>
              <w:bottom w:val="nil"/>
              <w:right w:val="nil"/>
            </w:tcBorders>
          </w:tcPr>
          <w:p w:rsidR="005E5A7D" w:rsidRPr="00D962B8" w:rsidRDefault="005E5A7D" w:rsidP="00DA5641">
            <w:pPr>
              <w:pStyle w:val="PargrafodaLista"/>
              <w:spacing w:line="360" w:lineRule="auto"/>
              <w:ind w:left="0"/>
              <w:jc w:val="center"/>
              <w:rPr>
                <w:rFonts w:ascii="Times New Roman" w:hAnsi="Times New Roman" w:cs="Times New Roman"/>
                <w:sz w:val="18"/>
                <w:szCs w:val="18"/>
              </w:rPr>
            </w:pPr>
            <m:oMathPara>
              <m:oMath>
                <m:r>
                  <w:rPr>
                    <w:rFonts w:ascii="Cambria Math" w:hAnsi="Cambria Math" w:cs="Times New Roman"/>
                    <w:sz w:val="18"/>
                    <w:szCs w:val="18"/>
                  </w:rPr>
                  <m:t>C</m:t>
                </m:r>
                <m:d>
                  <m:dPr>
                    <m:ctrlPr>
                      <w:rPr>
                        <w:rFonts w:ascii="Cambria Math" w:hAnsi="Cambria Math" w:cs="Times New Roman"/>
                        <w:i/>
                        <w:sz w:val="18"/>
                        <w:szCs w:val="18"/>
                      </w:rPr>
                    </m:ctrlPr>
                  </m:dPr>
                  <m:e>
                    <m:r>
                      <w:rPr>
                        <w:rFonts w:ascii="Cambria Math" w:hAnsi="Cambria Math" w:cs="Times New Roman"/>
                        <w:sz w:val="18"/>
                        <w:szCs w:val="18"/>
                      </w:rPr>
                      <m:t xml:space="preserve">a, </m:t>
                    </m:r>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e>
                </m:d>
                <m:r>
                  <w:rPr>
                    <w:rFonts w:ascii="Cambria Math" w:hAnsi="Cambria Math" w:cs="Times New Roman"/>
                    <w:sz w:val="18"/>
                    <w:szCs w:val="18"/>
                  </w:rPr>
                  <m:t xml:space="preserve">= </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j∈C(aP</m:t>
                    </m:r>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r>
                      <w:rPr>
                        <w:rFonts w:ascii="Cambria Math" w:hAnsi="Cambria Math" w:cs="Times New Roman"/>
                        <w:sz w:val="18"/>
                        <w:szCs w:val="18"/>
                      </w:rPr>
                      <m:t>)</m:t>
                    </m:r>
                  </m:sub>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e>
                </m:nary>
                <m:r>
                  <w:rPr>
                    <w:rFonts w:ascii="Cambria Math" w:hAnsi="Cambria Math" w:cs="Times New Roman"/>
                    <w:sz w:val="18"/>
                    <w:szCs w:val="18"/>
                  </w:rPr>
                  <m:t>+</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j∈C(aQa')</m:t>
                    </m:r>
                  </m:sub>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e>
                </m:nary>
                <m:r>
                  <w:rPr>
                    <w:rFonts w:ascii="Cambria Math" w:hAnsi="Cambria Math" w:cs="Times New Roman"/>
                    <w:sz w:val="18"/>
                    <w:szCs w:val="18"/>
                  </w:rPr>
                  <m:t>+</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j∈C(aI</m:t>
                    </m:r>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r>
                      <w:rPr>
                        <w:rFonts w:ascii="Cambria Math" w:hAnsi="Cambria Math" w:cs="Times New Roman"/>
                        <w:sz w:val="18"/>
                        <w:szCs w:val="18"/>
                      </w:rPr>
                      <m:t>)</m:t>
                    </m:r>
                  </m:sub>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e>
                </m:nary>
                <m:r>
                  <w:rPr>
                    <w:rFonts w:ascii="Cambria Math" w:hAnsi="Cambria Math" w:cs="Times New Roman"/>
                    <w:sz w:val="18"/>
                    <w:szCs w:val="18"/>
                  </w:rPr>
                  <m:t>+</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rPr>
                      <m:t>j∈C(</m:t>
                    </m:r>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r>
                      <w:rPr>
                        <w:rFonts w:ascii="Cambria Math" w:hAnsi="Cambria Math" w:cs="Times New Roman"/>
                        <w:sz w:val="18"/>
                        <w:szCs w:val="18"/>
                      </w:rPr>
                      <m:t>Qa)</m:t>
                    </m:r>
                  </m:sub>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j</m:t>
                        </m:r>
                      </m:sub>
                    </m:sSub>
                  </m:e>
                </m:nary>
              </m:oMath>
            </m:oMathPara>
          </w:p>
        </w:tc>
        <w:tc>
          <w:tcPr>
            <w:tcW w:w="391" w:type="pct"/>
            <w:tcBorders>
              <w:top w:val="nil"/>
              <w:left w:val="nil"/>
              <w:bottom w:val="nil"/>
              <w:right w:val="nil"/>
            </w:tcBorders>
          </w:tcPr>
          <w:p w:rsidR="005E5A7D" w:rsidRPr="00D962B8" w:rsidRDefault="0046311F" w:rsidP="00DA5641">
            <w:pPr>
              <w:pStyle w:val="PargrafodaLista"/>
              <w:spacing w:line="360" w:lineRule="auto"/>
              <w:ind w:left="0"/>
              <w:jc w:val="both"/>
              <w:rPr>
                <w:rFonts w:ascii="Times New Roman" w:hAnsi="Times New Roman" w:cs="Times New Roman"/>
                <w:sz w:val="18"/>
                <w:szCs w:val="18"/>
              </w:rPr>
            </w:pPr>
            <w:r>
              <w:rPr>
                <w:rFonts w:ascii="Times New Roman" w:hAnsi="Times New Roman" w:cs="Times New Roman"/>
                <w:sz w:val="18"/>
                <w:szCs w:val="18"/>
              </w:rPr>
              <w:t>(2</w:t>
            </w:r>
            <w:r w:rsidR="005E5A7D" w:rsidRPr="00D962B8">
              <w:rPr>
                <w:rFonts w:ascii="Times New Roman" w:hAnsi="Times New Roman" w:cs="Times New Roman"/>
                <w:sz w:val="18"/>
                <w:szCs w:val="18"/>
              </w:rPr>
              <w:t>)</w:t>
            </w:r>
          </w:p>
        </w:tc>
      </w:tr>
    </w:tbl>
    <w:p w:rsidR="005E5A7D" w:rsidRPr="00D962B8" w:rsidRDefault="005E5A7D" w:rsidP="005E5A7D">
      <w:pPr>
        <w:spacing w:line="360" w:lineRule="auto"/>
        <w:jc w:val="both"/>
        <w:rPr>
          <w:rFonts w:ascii="Times New Roman" w:hAnsi="Times New Roman" w:cs="Times New Roman"/>
          <w:sz w:val="18"/>
          <w:szCs w:val="18"/>
        </w:rPr>
      </w:pPr>
    </w:p>
    <w:tbl>
      <w:tblPr>
        <w:tblW w:w="4162" w:type="pct"/>
        <w:tblLook w:val="04A0" w:firstRow="1" w:lastRow="0" w:firstColumn="1" w:lastColumn="0" w:noHBand="0" w:noVBand="1"/>
      </w:tblPr>
      <w:tblGrid>
        <w:gridCol w:w="736"/>
        <w:gridCol w:w="6462"/>
        <w:gridCol w:w="532"/>
      </w:tblGrid>
      <w:tr w:rsidR="005E5A7D" w:rsidRPr="00D962B8" w:rsidTr="002101BA">
        <w:tc>
          <w:tcPr>
            <w:tcW w:w="384" w:type="pct"/>
            <w:tcBorders>
              <w:top w:val="nil"/>
              <w:left w:val="nil"/>
              <w:bottom w:val="nil"/>
              <w:right w:val="nil"/>
            </w:tcBorders>
          </w:tcPr>
          <w:p w:rsidR="005E5A7D" w:rsidRPr="00D962B8" w:rsidRDefault="005E5A7D" w:rsidP="00DA5641">
            <w:pPr>
              <w:pStyle w:val="PargrafodaLista"/>
              <w:spacing w:line="360" w:lineRule="auto"/>
              <w:ind w:left="0"/>
              <w:jc w:val="both"/>
              <w:rPr>
                <w:rFonts w:ascii="Times New Roman" w:hAnsi="Times New Roman" w:cs="Times New Roman"/>
                <w:sz w:val="18"/>
                <w:szCs w:val="18"/>
              </w:rPr>
            </w:pPr>
            <w:r w:rsidRPr="00BA2736">
              <w:rPr>
                <w:rFonts w:ascii="Times New Roman" w:hAnsi="Times New Roman" w:cs="Times New Roman"/>
                <w:sz w:val="24"/>
                <w:szCs w:val="24"/>
              </w:rPr>
              <w:t xml:space="preserve">Onde </w:t>
            </w:r>
          </w:p>
        </w:tc>
        <w:tc>
          <w:tcPr>
            <w:tcW w:w="4226" w:type="pct"/>
            <w:tcBorders>
              <w:top w:val="nil"/>
              <w:left w:val="nil"/>
              <w:bottom w:val="nil"/>
              <w:right w:val="nil"/>
            </w:tcBorders>
          </w:tcPr>
          <w:p w:rsidR="005E5A7D" w:rsidRPr="00D962B8" w:rsidRDefault="00267C50" w:rsidP="00DA5641">
            <w:pPr>
              <w:pStyle w:val="PargrafodaLista"/>
              <w:spacing w:line="360" w:lineRule="auto"/>
              <w:ind w:left="0"/>
              <w:jc w:val="center"/>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j</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g</m:t>
                        </m:r>
                      </m:e>
                      <m:sub>
                        <m:r>
                          <w:rPr>
                            <w:rFonts w:ascii="Cambria Math" w:hAnsi="Cambria Math" w:cs="Times New Roman"/>
                            <w:sz w:val="18"/>
                            <w:szCs w:val="18"/>
                          </w:rPr>
                          <m:t>j</m:t>
                        </m:r>
                      </m:sub>
                    </m:sSub>
                    <m:d>
                      <m:dPr>
                        <m:ctrlPr>
                          <w:rPr>
                            <w:rFonts w:ascii="Cambria Math" w:hAnsi="Cambria Math" w:cs="Times New Roman"/>
                            <w:i/>
                            <w:sz w:val="18"/>
                            <w:szCs w:val="18"/>
                          </w:rPr>
                        </m:ctrlPr>
                      </m:dPr>
                      <m:e>
                        <m:r>
                          <w:rPr>
                            <w:rFonts w:ascii="Cambria Math" w:hAnsi="Cambria Math" w:cs="Times New Roman"/>
                            <w:sz w:val="18"/>
                            <w:szCs w:val="18"/>
                          </w:rPr>
                          <m:t>a</m:t>
                        </m:r>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g</m:t>
                        </m:r>
                      </m:e>
                      <m:sub>
                        <m:r>
                          <w:rPr>
                            <w:rFonts w:ascii="Cambria Math" w:hAnsi="Cambria Math" w:cs="Times New Roman"/>
                            <w:sz w:val="18"/>
                            <w:szCs w:val="18"/>
                          </w:rPr>
                          <m:t>j</m:t>
                        </m:r>
                      </m:sub>
                    </m:sSub>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j</m:t>
                        </m:r>
                      </m:sub>
                    </m:sSub>
                  </m:num>
                  <m:den>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q</m:t>
                        </m:r>
                      </m:e>
                      <m:sub>
                        <m:r>
                          <w:rPr>
                            <w:rFonts w:ascii="Cambria Math" w:hAnsi="Cambria Math" w:cs="Times New Roman"/>
                            <w:sz w:val="18"/>
                            <w:szCs w:val="18"/>
                          </w:rPr>
                          <m:t>j</m:t>
                        </m:r>
                      </m:sub>
                    </m:sSub>
                  </m:den>
                </m:f>
                <m:r>
                  <w:rPr>
                    <w:rFonts w:ascii="Cambria Math" w:hAnsi="Cambria Math" w:cs="Times New Roman"/>
                    <w:sz w:val="18"/>
                    <w:szCs w:val="18"/>
                  </w:rPr>
                  <m:t xml:space="preserve"> ϵ</m:t>
                </m:r>
                <m:d>
                  <m:dPr>
                    <m:begChr m:val="["/>
                    <m:endChr m:val="["/>
                    <m:ctrlPr>
                      <w:rPr>
                        <w:rFonts w:ascii="Cambria Math" w:hAnsi="Cambria Math" w:cs="Times New Roman"/>
                        <w:i/>
                        <w:sz w:val="18"/>
                        <w:szCs w:val="18"/>
                      </w:rPr>
                    </m:ctrlPr>
                  </m:dPr>
                  <m:e>
                    <m:r>
                      <w:rPr>
                        <w:rFonts w:ascii="Cambria Math" w:hAnsi="Cambria Math" w:cs="Times New Roman"/>
                        <w:sz w:val="18"/>
                        <w:szCs w:val="18"/>
                      </w:rPr>
                      <m:t>0, 1</m:t>
                    </m:r>
                  </m:e>
                </m:d>
              </m:oMath>
            </m:oMathPara>
          </w:p>
        </w:tc>
        <w:tc>
          <w:tcPr>
            <w:tcW w:w="390" w:type="pct"/>
            <w:tcBorders>
              <w:top w:val="nil"/>
              <w:left w:val="nil"/>
              <w:bottom w:val="nil"/>
              <w:right w:val="nil"/>
            </w:tcBorders>
          </w:tcPr>
          <w:p w:rsidR="005E5A7D" w:rsidRPr="00D962B8" w:rsidRDefault="005E5A7D" w:rsidP="0046311F">
            <w:pPr>
              <w:pStyle w:val="PargrafodaLista"/>
              <w:spacing w:line="360" w:lineRule="auto"/>
              <w:ind w:left="0"/>
              <w:jc w:val="both"/>
              <w:rPr>
                <w:rFonts w:ascii="Times New Roman" w:hAnsi="Times New Roman" w:cs="Times New Roman"/>
                <w:sz w:val="18"/>
                <w:szCs w:val="18"/>
              </w:rPr>
            </w:pPr>
            <w:r w:rsidRPr="00D962B8">
              <w:rPr>
                <w:rFonts w:ascii="Times New Roman" w:hAnsi="Times New Roman" w:cs="Times New Roman"/>
                <w:sz w:val="18"/>
                <w:szCs w:val="18"/>
              </w:rPr>
              <w:t>(</w:t>
            </w:r>
            <w:r w:rsidR="0046311F">
              <w:rPr>
                <w:rFonts w:ascii="Times New Roman" w:hAnsi="Times New Roman" w:cs="Times New Roman"/>
                <w:sz w:val="18"/>
                <w:szCs w:val="18"/>
              </w:rPr>
              <w:t>3</w:t>
            </w:r>
            <w:r w:rsidRPr="00D962B8">
              <w:rPr>
                <w:rFonts w:ascii="Times New Roman" w:hAnsi="Times New Roman" w:cs="Times New Roman"/>
                <w:sz w:val="18"/>
                <w:szCs w:val="18"/>
              </w:rPr>
              <w:t>)</w:t>
            </w:r>
          </w:p>
        </w:tc>
      </w:tr>
    </w:tbl>
    <w:p w:rsidR="005E5A7D" w:rsidRPr="00D962B8" w:rsidRDefault="005E5A7D" w:rsidP="005E5A7D">
      <w:pPr>
        <w:spacing w:line="360" w:lineRule="auto"/>
        <w:jc w:val="both"/>
        <w:rPr>
          <w:rFonts w:ascii="Times New Roman" w:hAnsi="Times New Roman" w:cs="Times New Roman"/>
          <w:sz w:val="18"/>
          <w:szCs w:val="18"/>
        </w:rPr>
      </w:pPr>
    </w:p>
    <w:p w:rsidR="005E5A7D" w:rsidRPr="00BA2736" w:rsidRDefault="005E5A7D" w:rsidP="005E5A7D">
      <w:pPr>
        <w:spacing w:line="360" w:lineRule="auto"/>
        <w:ind w:firstLine="708"/>
        <w:jc w:val="both"/>
        <w:rPr>
          <w:rFonts w:ascii="Times New Roman" w:eastAsiaTheme="minorEastAsia" w:hAnsi="Times New Roman" w:cs="Times New Roman"/>
          <w:sz w:val="24"/>
          <w:szCs w:val="24"/>
        </w:rPr>
      </w:pPr>
      <w:r w:rsidRPr="00BA2736">
        <w:rPr>
          <w:rFonts w:ascii="Times New Roman" w:eastAsiaTheme="minorEastAsia" w:hAnsi="Times New Roman" w:cs="Times New Roman"/>
          <w:sz w:val="24"/>
          <w:szCs w:val="24"/>
        </w:rPr>
        <w:t xml:space="preserve">O índice de discordância parcial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(a,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Pr="00BA2736">
        <w:rPr>
          <w:rFonts w:ascii="Times New Roman" w:eastAsiaTheme="minorEastAsia" w:hAnsi="Times New Roman" w:cs="Times New Roman"/>
          <w:sz w:val="24"/>
          <w:szCs w:val="24"/>
        </w:rPr>
        <w:t xml:space="preserve"> deve se</w:t>
      </w:r>
      <w:r>
        <w:rPr>
          <w:rFonts w:ascii="Times New Roman" w:eastAsiaTheme="minorEastAsia" w:hAnsi="Times New Roman" w:cs="Times New Roman"/>
          <w:sz w:val="24"/>
          <w:szCs w:val="24"/>
        </w:rPr>
        <w:t xml:space="preserve">r calculado conforme a equação </w:t>
      </w:r>
      <w:proofErr w:type="gramStart"/>
      <w:r w:rsidR="0046311F">
        <w:rPr>
          <w:rFonts w:ascii="Times New Roman" w:eastAsiaTheme="minorEastAsia" w:hAnsi="Times New Roman" w:cs="Times New Roman"/>
          <w:sz w:val="24"/>
          <w:szCs w:val="24"/>
        </w:rPr>
        <w:t>4</w:t>
      </w:r>
      <w:proofErr w:type="gramEnd"/>
      <w:r w:rsidRPr="00BA2736">
        <w:rPr>
          <w:rFonts w:ascii="Times New Roman" w:eastAsiaTheme="minorEastAsia" w:hAnsi="Times New Roman" w:cs="Times New Roman"/>
          <w:sz w:val="24"/>
          <w:szCs w:val="24"/>
        </w:rPr>
        <w:t>:</w:t>
      </w:r>
    </w:p>
    <w:tbl>
      <w:tblPr>
        <w:tblW w:w="4993" w:type="pct"/>
        <w:tblLayout w:type="fixed"/>
        <w:tblLook w:val="04A0" w:firstRow="1" w:lastRow="0" w:firstColumn="1" w:lastColumn="0" w:noHBand="0" w:noVBand="1"/>
      </w:tblPr>
      <w:tblGrid>
        <w:gridCol w:w="647"/>
        <w:gridCol w:w="7715"/>
        <w:gridCol w:w="911"/>
      </w:tblGrid>
      <w:tr w:rsidR="005E5A7D" w:rsidRPr="00BA2736" w:rsidTr="002101BA">
        <w:trPr>
          <w:trHeight w:val="1276"/>
        </w:trPr>
        <w:tc>
          <w:tcPr>
            <w:tcW w:w="349" w:type="pct"/>
            <w:tcBorders>
              <w:top w:val="nil"/>
              <w:left w:val="nil"/>
              <w:bottom w:val="nil"/>
              <w:right w:val="nil"/>
            </w:tcBorders>
          </w:tcPr>
          <w:p w:rsidR="005E5A7D" w:rsidRPr="00BA2736" w:rsidRDefault="005E5A7D" w:rsidP="00DA5641">
            <w:pPr>
              <w:pStyle w:val="PargrafodaLista"/>
              <w:spacing w:line="360" w:lineRule="auto"/>
              <w:ind w:left="0"/>
              <w:jc w:val="both"/>
              <w:rPr>
                <w:rFonts w:ascii="Times New Roman" w:hAnsi="Times New Roman" w:cs="Times New Roman"/>
                <w:sz w:val="20"/>
                <w:szCs w:val="20"/>
              </w:rPr>
            </w:pPr>
          </w:p>
        </w:tc>
        <w:tc>
          <w:tcPr>
            <w:tcW w:w="4160" w:type="pct"/>
            <w:tcBorders>
              <w:top w:val="nil"/>
              <w:left w:val="nil"/>
              <w:bottom w:val="nil"/>
              <w:right w:val="nil"/>
            </w:tcBorders>
          </w:tcPr>
          <w:p w:rsidR="005E5A7D" w:rsidRPr="00D962B8" w:rsidRDefault="00267C50" w:rsidP="00DA5641">
            <w:pPr>
              <w:pStyle w:val="PargrafodaLista"/>
              <w:spacing w:line="360" w:lineRule="auto"/>
              <w:ind w:left="0"/>
              <w:jc w:val="center"/>
              <w:rPr>
                <w:rFonts w:ascii="Times New Roman" w:hAnsi="Times New Roman" w:cs="Times New Roman"/>
                <w:sz w:val="18"/>
                <w:szCs w:val="18"/>
              </w:rPr>
            </w:pPr>
            <m:oMathPara>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d</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m:t>
                </m:r>
                <m:d>
                  <m:dPr>
                    <m:begChr m:val="{"/>
                    <m:endChr m:val=""/>
                    <m:ctrlPr>
                      <w:rPr>
                        <w:rFonts w:ascii="Cambria Math" w:eastAsiaTheme="minorEastAsia" w:hAnsi="Cambria Math" w:cs="Times New Roman"/>
                        <w:i/>
                        <w:sz w:val="18"/>
                        <w:szCs w:val="18"/>
                      </w:rPr>
                    </m:ctrlPr>
                  </m:dPr>
                  <m:e>
                    <m:eqArr>
                      <m:eqArrPr>
                        <m:ctrlPr>
                          <w:rPr>
                            <w:rFonts w:ascii="Cambria Math" w:eastAsiaTheme="minorEastAsia" w:hAnsi="Cambria Math" w:cs="Times New Roman"/>
                            <w:i/>
                            <w:sz w:val="18"/>
                            <w:szCs w:val="18"/>
                          </w:rPr>
                        </m:ctrlPr>
                      </m:eqArrPr>
                      <m:e>
                        <m:r>
                          <w:rPr>
                            <w:rFonts w:ascii="Cambria Math" w:eastAsiaTheme="minorEastAsia" w:hAnsi="Cambria Math" w:cs="Times New Roman"/>
                            <w:sz w:val="18"/>
                            <w:szCs w:val="18"/>
                          </w:rPr>
                          <m:t xml:space="preserve">1                       se </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m:t>
                            </m:r>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&lt;-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m:t>
                        </m:r>
                      </m:e>
                      <m:e>
                        <m:f>
                          <m:fPr>
                            <m:ctrlPr>
                              <w:rPr>
                                <w:rFonts w:ascii="Cambria Math" w:eastAsiaTheme="minorEastAsia" w:hAnsi="Cambria Math" w:cs="Times New Roman"/>
                                <w:i/>
                                <w:sz w:val="18"/>
                                <w:szCs w:val="18"/>
                              </w:rPr>
                            </m:ctrlPr>
                          </m:fPr>
                          <m:num>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m:t>
                                </m:r>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j</m:t>
                                </m:r>
                              </m:sub>
                            </m:sSub>
                          </m:num>
                          <m:den>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j</m:t>
                                </m:r>
                              </m:sub>
                            </m:sSub>
                          </m:den>
                        </m:f>
                        <m:r>
                          <w:rPr>
                            <w:rFonts w:ascii="Cambria Math" w:eastAsiaTheme="minorEastAsia" w:hAnsi="Cambria Math" w:cs="Times New Roman"/>
                            <w:sz w:val="18"/>
                            <w:szCs w:val="18"/>
                          </w:rPr>
                          <m:t xml:space="preserve">  se-</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v</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m:t>
                            </m:r>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&lt;-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m:t>
                        </m:r>
                      </m:e>
                      <m:e>
                        <m:r>
                          <w:rPr>
                            <w:rFonts w:ascii="Cambria Math" w:eastAsiaTheme="minorEastAsia" w:hAnsi="Cambria Math" w:cs="Times New Roman"/>
                            <w:sz w:val="18"/>
                            <w:szCs w:val="18"/>
                          </w:rPr>
                          <m:t xml:space="preserve">0                      se </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a</m:t>
                            </m:r>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g</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m:t>
                        </m:r>
                      </m:e>
                    </m:eqArr>
                  </m:e>
                </m:d>
              </m:oMath>
            </m:oMathPara>
          </w:p>
        </w:tc>
        <w:tc>
          <w:tcPr>
            <w:tcW w:w="491" w:type="pct"/>
            <w:tcBorders>
              <w:top w:val="nil"/>
              <w:left w:val="nil"/>
              <w:bottom w:val="nil"/>
              <w:right w:val="nil"/>
            </w:tcBorders>
          </w:tcPr>
          <w:p w:rsidR="005E5A7D" w:rsidRPr="00D962B8" w:rsidRDefault="0046311F" w:rsidP="00DA5641">
            <w:pPr>
              <w:pStyle w:val="PargrafodaLista"/>
              <w:spacing w:line="360" w:lineRule="auto"/>
              <w:ind w:left="0"/>
              <w:jc w:val="both"/>
              <w:rPr>
                <w:rFonts w:ascii="Times New Roman" w:hAnsi="Times New Roman" w:cs="Times New Roman"/>
                <w:sz w:val="18"/>
                <w:szCs w:val="18"/>
              </w:rPr>
            </w:pPr>
            <w:r>
              <w:rPr>
                <w:rFonts w:ascii="Times New Roman" w:hAnsi="Times New Roman" w:cs="Times New Roman"/>
                <w:sz w:val="18"/>
                <w:szCs w:val="18"/>
              </w:rPr>
              <w:t>(4</w:t>
            </w:r>
            <w:r w:rsidR="005E5A7D" w:rsidRPr="00D962B8">
              <w:rPr>
                <w:rFonts w:ascii="Times New Roman" w:hAnsi="Times New Roman" w:cs="Times New Roman"/>
                <w:sz w:val="18"/>
                <w:szCs w:val="18"/>
              </w:rPr>
              <w:t>)</w:t>
            </w:r>
          </w:p>
        </w:tc>
      </w:tr>
    </w:tbl>
    <w:p w:rsidR="005E5A7D" w:rsidRPr="00BA2736" w:rsidRDefault="005E5A7D" w:rsidP="005E5A7D">
      <w:pPr>
        <w:spacing w:line="360" w:lineRule="auto"/>
        <w:ind w:firstLine="708"/>
        <w:jc w:val="both"/>
        <w:rPr>
          <w:rFonts w:ascii="Times New Roman" w:eastAsiaTheme="minorEastAsia" w:hAnsi="Times New Roman" w:cs="Times New Roman"/>
          <w:sz w:val="24"/>
          <w:szCs w:val="24"/>
        </w:rPr>
      </w:pPr>
      <w:r w:rsidRPr="00BA2736">
        <w:rPr>
          <w:rFonts w:ascii="Times New Roman" w:hAnsi="Times New Roman" w:cs="Times New Roman"/>
          <w:sz w:val="24"/>
          <w:szCs w:val="24"/>
        </w:rPr>
        <w:t xml:space="preserve">E finalmente calcula-se o índice de credibilidade </w:t>
      </w:r>
      <m:oMath>
        <m:r>
          <w:rPr>
            <w:rFonts w:ascii="Cambria Math" w:hAnsi="Cambria Math" w:cs="Times New Roman"/>
            <w:sz w:val="24"/>
            <w:szCs w:val="24"/>
          </w:rPr>
          <m:t xml:space="preserve">σ(a,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oMath>
      <w:r w:rsidRPr="00BA2736">
        <w:rPr>
          <w:rFonts w:ascii="Times New Roman" w:eastAsiaTheme="minorEastAsia" w:hAnsi="Times New Roman" w:cs="Times New Roman"/>
          <w:sz w:val="24"/>
          <w:szCs w:val="24"/>
        </w:rPr>
        <w:t xml:space="preserve">, que representa a credibilidade da relação e sobreclassificação </w:t>
      </w:r>
      <m:oMath>
        <m:r>
          <w:rPr>
            <w:rFonts w:ascii="Cambria Math" w:eastAsiaTheme="minorEastAsia" w:hAnsi="Cambria Math" w:cs="Times New Roman"/>
            <w:sz w:val="24"/>
            <w:szCs w:val="24"/>
          </w:rPr>
          <m:t>aSa'</m:t>
        </m:r>
      </m:oMath>
      <w:r w:rsidRPr="00BA2736">
        <w:rPr>
          <w:rFonts w:ascii="Times New Roman" w:eastAsiaTheme="minorEastAsia" w:hAnsi="Times New Roman" w:cs="Times New Roman"/>
          <w:sz w:val="24"/>
          <w:szCs w:val="24"/>
        </w:rPr>
        <w:t xml:space="preserve"> na qual todos os critérios são levados em consideraç</w:t>
      </w:r>
      <w:r>
        <w:rPr>
          <w:rFonts w:ascii="Times New Roman" w:eastAsiaTheme="minorEastAsia" w:hAnsi="Times New Roman" w:cs="Times New Roman"/>
          <w:sz w:val="24"/>
          <w:szCs w:val="24"/>
        </w:rPr>
        <w:t xml:space="preserve">ão e está descrito na equação </w:t>
      </w:r>
      <w:proofErr w:type="gramStart"/>
      <w:r w:rsidR="0046311F">
        <w:rPr>
          <w:rFonts w:ascii="Times New Roman" w:eastAsiaTheme="minorEastAsia" w:hAnsi="Times New Roman" w:cs="Times New Roman"/>
          <w:sz w:val="24"/>
          <w:szCs w:val="24"/>
        </w:rPr>
        <w:t>5</w:t>
      </w:r>
      <w:proofErr w:type="gramEnd"/>
      <w:r w:rsidRPr="00BA2736">
        <w:rPr>
          <w:rFonts w:ascii="Times New Roman" w:eastAsiaTheme="minorEastAsia" w:hAnsi="Times New Roman" w:cs="Times New Roman"/>
          <w:sz w:val="24"/>
          <w:szCs w:val="24"/>
        </w:rPr>
        <w:t>:</w:t>
      </w:r>
    </w:p>
    <w:tbl>
      <w:tblPr>
        <w:tblW w:w="4112" w:type="pct"/>
        <w:tblLook w:val="04A0" w:firstRow="1" w:lastRow="0" w:firstColumn="1" w:lastColumn="0" w:noHBand="0" w:noVBand="1"/>
      </w:tblPr>
      <w:tblGrid>
        <w:gridCol w:w="586"/>
        <w:gridCol w:w="6455"/>
        <w:gridCol w:w="596"/>
      </w:tblGrid>
      <w:tr w:rsidR="005E5A7D" w:rsidRPr="00BA2736" w:rsidTr="002101BA">
        <w:trPr>
          <w:trHeight w:val="529"/>
        </w:trPr>
        <w:tc>
          <w:tcPr>
            <w:tcW w:w="384" w:type="pct"/>
            <w:tcBorders>
              <w:top w:val="nil"/>
              <w:left w:val="nil"/>
              <w:bottom w:val="nil"/>
              <w:right w:val="nil"/>
            </w:tcBorders>
          </w:tcPr>
          <w:p w:rsidR="005E5A7D" w:rsidRPr="00BA2736" w:rsidRDefault="005E5A7D" w:rsidP="00DA5641">
            <w:pPr>
              <w:pStyle w:val="PargrafodaLista"/>
              <w:spacing w:line="360" w:lineRule="auto"/>
              <w:ind w:left="0"/>
              <w:jc w:val="both"/>
              <w:rPr>
                <w:rFonts w:ascii="Times New Roman" w:hAnsi="Times New Roman" w:cs="Times New Roman"/>
                <w:sz w:val="20"/>
                <w:szCs w:val="20"/>
              </w:rPr>
            </w:pPr>
          </w:p>
        </w:tc>
        <w:tc>
          <w:tcPr>
            <w:tcW w:w="4226" w:type="pct"/>
            <w:tcBorders>
              <w:top w:val="nil"/>
              <w:left w:val="nil"/>
              <w:bottom w:val="nil"/>
              <w:right w:val="nil"/>
            </w:tcBorders>
          </w:tcPr>
          <w:p w:rsidR="005E5A7D" w:rsidRPr="00D962B8" w:rsidRDefault="005E5A7D" w:rsidP="00DA5641">
            <w:pPr>
              <w:pStyle w:val="PargrafodaLista"/>
              <w:spacing w:line="360" w:lineRule="auto"/>
              <w:ind w:left="0"/>
              <w:jc w:val="center"/>
              <w:rPr>
                <w:rFonts w:ascii="Times New Roman" w:hAnsi="Times New Roman" w:cs="Times New Roman"/>
                <w:sz w:val="18"/>
                <w:szCs w:val="18"/>
              </w:rPr>
            </w:pPr>
            <m:oMathPara>
              <m:oMath>
                <m:r>
                  <w:rPr>
                    <w:rFonts w:ascii="Cambria Math" w:eastAsiaTheme="minorEastAsia" w:hAnsi="Cambria Math" w:cs="Times New Roman"/>
                    <w:sz w:val="18"/>
                    <w:szCs w:val="18"/>
                  </w:rPr>
                  <m:t>σ</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 xml:space="preserve">=C(a,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r>
                  <w:rPr>
                    <w:rFonts w:ascii="Cambria Math" w:eastAsiaTheme="minorEastAsia" w:hAnsi="Cambria Math" w:cs="Times New Roman"/>
                    <w:sz w:val="18"/>
                    <w:szCs w:val="18"/>
                  </w:rPr>
                  <m:t>)</m:t>
                </m:r>
                <m:nary>
                  <m:naryPr>
                    <m:chr m:val="∏"/>
                    <m:limLoc m:val="subSup"/>
                    <m:ctrlPr>
                      <w:rPr>
                        <w:rFonts w:ascii="Cambria Math" w:eastAsiaTheme="minorEastAsia" w:hAnsi="Cambria Math" w:cs="Times New Roman"/>
                        <w:i/>
                        <w:sz w:val="18"/>
                        <w:szCs w:val="18"/>
                      </w:rPr>
                    </m:ctrlPr>
                  </m:naryPr>
                  <m:sub>
                    <m:r>
                      <w:rPr>
                        <w:rFonts w:ascii="Cambria Math" w:eastAsiaTheme="minorEastAsia" w:hAnsi="Cambria Math" w:cs="Times New Roman"/>
                        <w:sz w:val="18"/>
                        <w:szCs w:val="18"/>
                      </w:rPr>
                      <m:t>j=1</m:t>
                    </m:r>
                  </m:sub>
                  <m:sup>
                    <m:r>
                      <w:rPr>
                        <w:rFonts w:ascii="Cambria Math" w:eastAsiaTheme="minorEastAsia" w:hAnsi="Cambria Math" w:cs="Times New Roman"/>
                        <w:sz w:val="18"/>
                        <w:szCs w:val="18"/>
                      </w:rPr>
                      <m:t>n</m:t>
                    </m:r>
                  </m:sup>
                  <m:e>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T</m:t>
                        </m:r>
                      </m:e>
                      <m:sub>
                        <m:r>
                          <w:rPr>
                            <w:rFonts w:ascii="Cambria Math" w:eastAsiaTheme="minorEastAsia" w:hAnsi="Cambria Math" w:cs="Times New Roman"/>
                            <w:sz w:val="18"/>
                            <w:szCs w:val="18"/>
                          </w:rPr>
                          <m:t>j</m:t>
                        </m:r>
                      </m:sub>
                    </m:sSub>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r>
                      <w:rPr>
                        <w:rFonts w:ascii="Cambria Math" w:eastAsiaTheme="minorEastAsia" w:hAnsi="Cambria Math" w:cs="Times New Roman"/>
                        <w:sz w:val="18"/>
                        <w:szCs w:val="18"/>
                      </w:rPr>
                      <m:t>)</m:t>
                    </m:r>
                  </m:e>
                </m:nary>
              </m:oMath>
            </m:oMathPara>
          </w:p>
        </w:tc>
        <w:tc>
          <w:tcPr>
            <w:tcW w:w="390" w:type="pct"/>
            <w:tcBorders>
              <w:top w:val="nil"/>
              <w:left w:val="nil"/>
              <w:bottom w:val="nil"/>
              <w:right w:val="nil"/>
            </w:tcBorders>
          </w:tcPr>
          <w:p w:rsidR="005E5A7D" w:rsidRPr="00D962B8" w:rsidRDefault="0046311F" w:rsidP="00DA5641">
            <w:pPr>
              <w:pStyle w:val="PargrafodaLista"/>
              <w:spacing w:line="360" w:lineRule="auto"/>
              <w:ind w:left="0"/>
              <w:jc w:val="both"/>
              <w:rPr>
                <w:rFonts w:ascii="Times New Roman" w:hAnsi="Times New Roman" w:cs="Times New Roman"/>
                <w:sz w:val="18"/>
                <w:szCs w:val="18"/>
              </w:rPr>
            </w:pPr>
            <w:r>
              <w:rPr>
                <w:rFonts w:ascii="Times New Roman" w:hAnsi="Times New Roman" w:cs="Times New Roman"/>
                <w:sz w:val="18"/>
                <w:szCs w:val="18"/>
              </w:rPr>
              <w:t>(5</w:t>
            </w:r>
            <w:r w:rsidR="005E5A7D" w:rsidRPr="00D962B8">
              <w:rPr>
                <w:rFonts w:ascii="Times New Roman" w:hAnsi="Times New Roman" w:cs="Times New Roman"/>
                <w:sz w:val="18"/>
                <w:szCs w:val="18"/>
              </w:rPr>
              <w:t>)</w:t>
            </w:r>
          </w:p>
        </w:tc>
      </w:tr>
    </w:tbl>
    <w:p w:rsidR="005E5A7D" w:rsidRPr="00BA2736" w:rsidRDefault="005E5A7D" w:rsidP="005E5A7D">
      <w:pPr>
        <w:spacing w:line="360" w:lineRule="auto"/>
        <w:jc w:val="both"/>
        <w:rPr>
          <w:rFonts w:ascii="Times New Roman" w:eastAsiaTheme="minorEastAsia" w:hAnsi="Times New Roman" w:cs="Times New Roman"/>
          <w:sz w:val="24"/>
          <w:szCs w:val="24"/>
        </w:rPr>
      </w:pPr>
    </w:p>
    <w:p w:rsidR="002101BA" w:rsidRPr="002101BA" w:rsidRDefault="005E5A7D" w:rsidP="002101BA">
      <w:pPr>
        <w:pStyle w:val="PargrafodaLista"/>
        <w:spacing w:line="360" w:lineRule="auto"/>
        <w:jc w:val="both"/>
        <w:rPr>
          <w:rFonts w:ascii="Times New Roman" w:eastAsiaTheme="minorEastAsia" w:hAnsi="Times New Roman" w:cs="Times New Roman"/>
          <w:sz w:val="18"/>
          <w:szCs w:val="18"/>
        </w:rPr>
      </w:pPr>
      <w:r w:rsidRPr="00BA2736">
        <w:rPr>
          <w:rFonts w:ascii="Times New Roman" w:eastAsiaTheme="minorEastAsia" w:hAnsi="Times New Roman" w:cs="Times New Roman"/>
          <w:sz w:val="24"/>
          <w:szCs w:val="24"/>
        </w:rPr>
        <w:lastRenderedPageBreak/>
        <w:t>Em qu</w:t>
      </w:r>
      <w:r w:rsidR="0046311F">
        <w:rPr>
          <w:rFonts w:ascii="Times New Roman" w:eastAsiaTheme="minorEastAsia" w:hAnsi="Times New Roman" w:cs="Times New Roman"/>
          <w:sz w:val="24"/>
          <w:szCs w:val="24"/>
        </w:rPr>
        <w:t xml:space="preserve">e </w:t>
      </w:r>
      <m:oMath>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T</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m:t>
        </m:r>
        <m:d>
          <m:dPr>
            <m:begChr m:val="{"/>
            <m:endChr m:val=""/>
            <m:ctrlPr>
              <w:rPr>
                <w:rFonts w:ascii="Cambria Math" w:eastAsiaTheme="minorEastAsia" w:hAnsi="Cambria Math" w:cs="Times New Roman"/>
                <w:i/>
                <w:sz w:val="18"/>
                <w:szCs w:val="18"/>
              </w:rPr>
            </m:ctrlPr>
          </m:dPr>
          <m:e>
            <m:eqArr>
              <m:eqArrPr>
                <m:ctrlPr>
                  <w:rPr>
                    <w:rFonts w:ascii="Cambria Math" w:eastAsiaTheme="minorEastAsia" w:hAnsi="Cambria Math" w:cs="Times New Roman"/>
                    <w:i/>
                    <w:sz w:val="18"/>
                    <w:szCs w:val="18"/>
                  </w:rPr>
                </m:ctrlPr>
              </m:eqArrPr>
              <m:e>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d</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num>
                  <m:den>
                    <m:r>
                      <w:rPr>
                        <w:rFonts w:ascii="Cambria Math" w:eastAsiaTheme="minorEastAsia" w:hAnsi="Cambria Math" w:cs="Times New Roman"/>
                        <w:sz w:val="18"/>
                        <w:szCs w:val="18"/>
                      </w:rPr>
                      <m:t>1-</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c</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den>
                </m:f>
                <m:r>
                  <w:rPr>
                    <w:rFonts w:ascii="Cambria Math" w:eastAsiaTheme="minorEastAsia" w:hAnsi="Cambria Math" w:cs="Times New Roman"/>
                    <w:sz w:val="18"/>
                    <w:szCs w:val="18"/>
                  </w:rPr>
                  <m:t xml:space="preserve">           se </m:t>
                </m:r>
                <m:sSub>
                  <m:sSubPr>
                    <m:ctrlPr>
                      <w:rPr>
                        <w:rFonts w:ascii="Cambria Math" w:eastAsiaTheme="minorEastAsia" w:hAnsi="Cambria Math" w:cs="Times New Roman"/>
                        <w:i/>
                        <w:sz w:val="18"/>
                        <w:szCs w:val="18"/>
                      </w:rPr>
                    </m:ctrlPr>
                  </m:sSubPr>
                  <m:e>
                    <m:r>
                      <w:rPr>
                        <w:rFonts w:ascii="Cambria Math" w:eastAsiaTheme="minorEastAsia" w:hAnsi="Cambria Math" w:cs="Times New Roman"/>
                        <w:sz w:val="18"/>
                        <w:szCs w:val="18"/>
                      </w:rPr>
                      <m:t>d</m:t>
                    </m:r>
                  </m:e>
                  <m:sub>
                    <m:r>
                      <w:rPr>
                        <w:rFonts w:ascii="Cambria Math" w:eastAsiaTheme="minorEastAsia" w:hAnsi="Cambria Math" w:cs="Times New Roman"/>
                        <w:sz w:val="18"/>
                        <w:szCs w:val="18"/>
                      </w:rPr>
                      <m:t>j</m:t>
                    </m:r>
                  </m:sub>
                </m:sSub>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r>
                  <w:rPr>
                    <w:rFonts w:ascii="Cambria Math" w:eastAsiaTheme="minorEastAsia" w:hAnsi="Cambria Math" w:cs="Times New Roman"/>
                    <w:sz w:val="18"/>
                    <w:szCs w:val="18"/>
                  </w:rPr>
                  <m:t>&gt;C</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 xml:space="preserve">a, </m:t>
                    </m:r>
                    <m:sSup>
                      <m:sSupPr>
                        <m:ctrlPr>
                          <w:rPr>
                            <w:rFonts w:ascii="Cambria Math" w:eastAsiaTheme="minorEastAsia" w:hAnsi="Cambria Math" w:cs="Times New Roman"/>
                            <w:i/>
                            <w:sz w:val="18"/>
                            <w:szCs w:val="18"/>
                          </w:rPr>
                        </m:ctrlPr>
                      </m:sSupPr>
                      <m:e>
                        <m:r>
                          <w:rPr>
                            <w:rFonts w:ascii="Cambria Math" w:eastAsiaTheme="minorEastAsia" w:hAnsi="Cambria Math" w:cs="Times New Roman"/>
                            <w:sz w:val="18"/>
                            <w:szCs w:val="18"/>
                          </w:rPr>
                          <m:t>a</m:t>
                        </m:r>
                      </m:e>
                      <m:sup>
                        <m:r>
                          <w:rPr>
                            <w:rFonts w:ascii="Cambria Math" w:eastAsiaTheme="minorEastAsia" w:hAnsi="Cambria Math" w:cs="Times New Roman"/>
                            <w:sz w:val="18"/>
                            <w:szCs w:val="18"/>
                          </w:rPr>
                          <m:t>'</m:t>
                        </m:r>
                      </m:sup>
                    </m:sSup>
                  </m:e>
                </m:d>
              </m:e>
              <m:e>
                <m:r>
                  <w:rPr>
                    <w:rFonts w:ascii="Cambria Math" w:eastAsiaTheme="minorEastAsia" w:hAnsi="Cambria Math" w:cs="Times New Roman"/>
                    <w:sz w:val="18"/>
                    <w:szCs w:val="18"/>
                  </w:rPr>
                  <m:t>1                        caso contrário</m:t>
                </m:r>
              </m:e>
            </m:eqArr>
          </m:e>
        </m:d>
      </m:oMath>
    </w:p>
    <w:p w:rsidR="005E5A7D" w:rsidRPr="002101BA" w:rsidRDefault="005E5A7D" w:rsidP="002101BA">
      <w:pPr>
        <w:spacing w:line="360" w:lineRule="auto"/>
        <w:ind w:firstLine="708"/>
        <w:jc w:val="both"/>
        <w:rPr>
          <w:rFonts w:ascii="Times New Roman" w:eastAsiaTheme="minorEastAsia" w:hAnsi="Times New Roman" w:cs="Times New Roman"/>
          <w:sz w:val="24"/>
          <w:szCs w:val="24"/>
        </w:rPr>
      </w:pPr>
      <w:r w:rsidRPr="002101BA">
        <w:rPr>
          <w:rFonts w:ascii="Times New Roman" w:hAnsi="Times New Roman" w:cs="Times New Roman"/>
          <w:sz w:val="24"/>
          <w:szCs w:val="24"/>
        </w:rPr>
        <w:t xml:space="preserve">Em posse do índice de credibilidade, o analista e o </w:t>
      </w:r>
      <w:proofErr w:type="spellStart"/>
      <w:r w:rsidRPr="002101BA">
        <w:rPr>
          <w:rFonts w:ascii="Times New Roman" w:hAnsi="Times New Roman" w:cs="Times New Roman"/>
          <w:sz w:val="24"/>
          <w:szCs w:val="24"/>
        </w:rPr>
        <w:t>decisor</w:t>
      </w:r>
      <w:proofErr w:type="spellEnd"/>
      <w:r w:rsidRPr="002101BA">
        <w:rPr>
          <w:rFonts w:ascii="Times New Roman" w:hAnsi="Times New Roman" w:cs="Times New Roman"/>
          <w:sz w:val="24"/>
          <w:szCs w:val="24"/>
        </w:rPr>
        <w:t xml:space="preserve"> devem escolher o nível de credibilidade. Esse nível, denotado por </w:t>
      </w:r>
      <m:oMath>
        <m:r>
          <w:rPr>
            <w:rFonts w:ascii="Cambria Math" w:hAnsi="Cambria Math" w:cs="Times New Roman"/>
            <w:sz w:val="24"/>
            <w:szCs w:val="24"/>
          </w:rPr>
          <m:t>(λ)</m:t>
        </m:r>
      </m:oMath>
      <w:r w:rsidRPr="002101BA">
        <w:rPr>
          <w:rFonts w:ascii="Times New Roman" w:hAnsi="Times New Roman" w:cs="Times New Roman"/>
          <w:sz w:val="24"/>
          <w:szCs w:val="24"/>
        </w:rPr>
        <w:t xml:space="preserve">, representa o mínimo valor de </w:t>
      </w:r>
      <m:oMath>
        <m:r>
          <w:rPr>
            <w:rFonts w:ascii="Cambria Math" w:hAnsi="Cambria Math" w:cs="Times New Roman"/>
            <w:sz w:val="24"/>
            <w:szCs w:val="24"/>
          </w:rPr>
          <m:t xml:space="preserve">σ(a,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oMath>
      <w:r w:rsidRPr="002101BA">
        <w:rPr>
          <w:rFonts w:ascii="Times New Roman" w:hAnsi="Times New Roman" w:cs="Times New Roman"/>
          <w:sz w:val="24"/>
          <w:szCs w:val="24"/>
        </w:rPr>
        <w:t xml:space="preserve"> que é julgado necessário pelo decisor para validar ou não a relação de sobreclassificação. Em geral, esse valor está entre o intervalo [</w:t>
      </w:r>
      <w:proofErr w:type="gramStart"/>
      <w:r w:rsidRPr="002101BA">
        <w:rPr>
          <w:rFonts w:ascii="Times New Roman" w:hAnsi="Times New Roman" w:cs="Times New Roman"/>
          <w:sz w:val="24"/>
          <w:szCs w:val="24"/>
        </w:rPr>
        <w:t>0,5;</w:t>
      </w:r>
      <w:proofErr w:type="gramEnd"/>
      <w:r w:rsidRPr="002101BA">
        <w:rPr>
          <w:rFonts w:ascii="Times New Roman" w:hAnsi="Times New Roman" w:cs="Times New Roman"/>
          <w:sz w:val="24"/>
          <w:szCs w:val="24"/>
        </w:rPr>
        <w:t xml:space="preserve">1]. </w:t>
      </w:r>
    </w:p>
    <w:p w:rsidR="00AD76EB" w:rsidRPr="00AD76EB" w:rsidRDefault="00AD76EB" w:rsidP="00AD76EB">
      <w:pPr>
        <w:spacing w:line="360" w:lineRule="auto"/>
        <w:ind w:firstLine="708"/>
        <w:jc w:val="both"/>
        <w:rPr>
          <w:rFonts w:ascii="Times New Roman" w:hAnsi="Times New Roman" w:cs="Times New Roman"/>
          <w:sz w:val="24"/>
          <w:szCs w:val="24"/>
        </w:rPr>
      </w:pPr>
      <w:r w:rsidRPr="00AD76EB">
        <w:rPr>
          <w:rFonts w:ascii="Times New Roman" w:hAnsi="Times New Roman" w:cs="Times New Roman"/>
          <w:sz w:val="24"/>
          <w:szCs w:val="24"/>
        </w:rPr>
        <w:t xml:space="preserve">O ELECTRE TRI-C possui duas classificações, sendo elas formadas a partir de regras descendente e ascendente. As duas regras são obtidas para se ter ciência da maior e menor categoria possível para alocar uma alternativa, podendo ser, em algumas situações, a mesma. </w:t>
      </w:r>
    </w:p>
    <w:p w:rsidR="00AD76EB" w:rsidRPr="00AD76EB" w:rsidRDefault="00AD76EB" w:rsidP="00AD76EB">
      <w:pPr>
        <w:spacing w:line="360" w:lineRule="auto"/>
        <w:ind w:firstLine="708"/>
        <w:jc w:val="both"/>
        <w:rPr>
          <w:rFonts w:ascii="Times New Roman" w:hAnsi="Times New Roman" w:cs="Times New Roman"/>
          <w:sz w:val="24"/>
          <w:szCs w:val="24"/>
        </w:rPr>
      </w:pPr>
      <w:r w:rsidRPr="00AD76EB">
        <w:rPr>
          <w:rFonts w:ascii="Times New Roman" w:hAnsi="Times New Roman" w:cs="Times New Roman"/>
          <w:sz w:val="24"/>
          <w:szCs w:val="24"/>
        </w:rPr>
        <w:t xml:space="preserve">Regra descendente: avaliando da melhor categoria até a pior, encontra-se a primeira categoria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Pr="00AD76EB">
        <w:rPr>
          <w:rFonts w:ascii="Times New Roman" w:hAnsi="Times New Roman" w:cs="Times New Roman"/>
          <w:sz w:val="24"/>
          <w:szCs w:val="24"/>
        </w:rPr>
        <w:t xml:space="preserve"> que satisfaz </w:t>
      </w:r>
      <m:oMath>
        <m:r>
          <w:rPr>
            <w:rFonts w:ascii="Cambria Math" w:hAnsi="Cambria Math" w:cs="Times New Roman"/>
            <w:sz w:val="24"/>
            <w:szCs w:val="24"/>
          </w:rPr>
          <m:t>σ</m:t>
        </m:r>
        <m:d>
          <m:dPr>
            <m:ctrlPr>
              <w:rPr>
                <w:rFonts w:ascii="Cambria Math" w:hAnsi="Cambria Math" w:cs="Times New Roman"/>
                <w:i/>
                <w:sz w:val="24"/>
                <w:szCs w:val="24"/>
              </w:rPr>
            </m:ctrlPr>
          </m:dPr>
          <m:e>
            <m:r>
              <w:rPr>
                <w:rFonts w:ascii="Cambria Math" w:hAnsi="Cambria Math" w:cs="Times New Roman"/>
                <w:sz w:val="24"/>
                <w:szCs w:val="24"/>
              </w:rPr>
              <m:t xml:space="preserve">a, </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≥λ</m:t>
        </m:r>
      </m:oMath>
      <w:r w:rsidRPr="00AD76EB">
        <w:rPr>
          <w:rFonts w:ascii="Times New Roman" w:eastAsiaTheme="minorEastAsia" w:hAnsi="Times New Roman" w:cs="Times New Roman"/>
          <w:sz w:val="24"/>
          <w:szCs w:val="24"/>
        </w:rPr>
        <w:t>.</w:t>
      </w:r>
      <w:r w:rsidRPr="00AD76EB">
        <w:rPr>
          <w:rFonts w:ascii="Times New Roman" w:hAnsi="Times New Roman" w:cs="Times New Roman"/>
          <w:sz w:val="24"/>
          <w:szCs w:val="24"/>
        </w:rPr>
        <w:t xml:space="preserve"> Em posse de t: </w:t>
      </w:r>
    </w:p>
    <w:p w:rsidR="00AD76EB" w:rsidRPr="00AD76EB" w:rsidRDefault="00AD76EB" w:rsidP="00AD76EB">
      <w:pPr>
        <w:pStyle w:val="PargrafodaLista"/>
        <w:numPr>
          <w:ilvl w:val="0"/>
          <w:numId w:val="8"/>
        </w:numPr>
        <w:spacing w:line="360" w:lineRule="auto"/>
        <w:jc w:val="both"/>
        <w:rPr>
          <w:rFonts w:ascii="Times New Roman" w:hAnsi="Times New Roman" w:cs="Times New Roman"/>
          <w:sz w:val="24"/>
          <w:szCs w:val="24"/>
        </w:rPr>
      </w:pPr>
      <w:r w:rsidRPr="00AD76EB">
        <w:rPr>
          <w:rFonts w:ascii="Times New Roman" w:hAnsi="Times New Roman" w:cs="Times New Roman"/>
          <w:sz w:val="24"/>
          <w:szCs w:val="24"/>
        </w:rPr>
        <w:t xml:space="preserve">Para </w:t>
      </w:r>
      <m:oMath>
        <m:r>
          <w:rPr>
            <w:rFonts w:ascii="Cambria Math" w:hAnsi="Cambria Math" w:cs="Times New Roman"/>
            <w:sz w:val="24"/>
            <w:szCs w:val="24"/>
          </w:rPr>
          <m:t>t=q</m:t>
        </m:r>
      </m:oMath>
      <w:r w:rsidRPr="00AD76EB">
        <w:rPr>
          <w:rFonts w:ascii="Times New Roman" w:hAnsi="Times New Roman" w:cs="Times New Roman"/>
          <w:sz w:val="24"/>
          <w:szCs w:val="24"/>
        </w:rPr>
        <w:t xml:space="preserve"> selecionar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q</m:t>
            </m:r>
          </m:sub>
        </m:sSub>
      </m:oMath>
      <w:r w:rsidRPr="00AD76EB">
        <w:rPr>
          <w:rFonts w:ascii="Times New Roman" w:hAnsi="Times New Roman" w:cs="Times New Roman"/>
          <w:sz w:val="24"/>
          <w:szCs w:val="24"/>
        </w:rPr>
        <w:t xml:space="preserve"> como a possível categoria para alocar a ação </w:t>
      </w:r>
      <m:oMath>
        <m:r>
          <w:rPr>
            <w:rFonts w:ascii="Cambria Math" w:hAnsi="Cambria Math" w:cs="Times New Roman"/>
            <w:sz w:val="24"/>
            <w:szCs w:val="24"/>
          </w:rPr>
          <m:t>a</m:t>
        </m:r>
      </m:oMath>
      <w:r w:rsidRPr="00AD76EB">
        <w:rPr>
          <w:rFonts w:ascii="Times New Roman" w:hAnsi="Times New Roman" w:cs="Times New Roman"/>
          <w:sz w:val="24"/>
          <w:szCs w:val="24"/>
        </w:rPr>
        <w:t xml:space="preserve">; </w:t>
      </w:r>
    </w:p>
    <w:p w:rsidR="00AD76EB" w:rsidRPr="00AD76EB" w:rsidRDefault="00AD76EB" w:rsidP="00AD76EB">
      <w:pPr>
        <w:pStyle w:val="PargrafodaLista"/>
        <w:numPr>
          <w:ilvl w:val="0"/>
          <w:numId w:val="8"/>
        </w:numPr>
        <w:spacing w:line="360" w:lineRule="auto"/>
        <w:jc w:val="both"/>
        <w:rPr>
          <w:rFonts w:ascii="Times New Roman" w:eastAsiaTheme="minorEastAsia" w:hAnsi="Times New Roman" w:cs="Times New Roman"/>
          <w:sz w:val="24"/>
          <w:szCs w:val="24"/>
        </w:rPr>
      </w:pPr>
      <w:r w:rsidRPr="00AD76EB">
        <w:rPr>
          <w:rFonts w:ascii="Times New Roman" w:hAnsi="Times New Roman" w:cs="Times New Roman"/>
          <w:sz w:val="24"/>
          <w:szCs w:val="24"/>
        </w:rPr>
        <w:t xml:space="preserve">Para </w:t>
      </w:r>
      <m:oMath>
        <m:r>
          <w:rPr>
            <w:rFonts w:ascii="Cambria Math" w:hAnsi="Cambria Math" w:cs="Times New Roman"/>
            <w:sz w:val="24"/>
            <w:szCs w:val="24"/>
          </w:rPr>
          <m:t>0&lt;t&lt;q</m:t>
        </m:r>
      </m:oMath>
      <w:r w:rsidRPr="00AD76EB">
        <w:rPr>
          <w:rFonts w:ascii="Times New Roman" w:eastAsiaTheme="minorEastAsia" w:hAnsi="Times New Roman" w:cs="Times New Roman"/>
          <w:sz w:val="24"/>
          <w:szCs w:val="24"/>
        </w:rPr>
        <w:t xml:space="preserve">, se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 xml:space="preserve">&gt;p(a,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oMath>
      <w:r w:rsidRPr="00AD76EB">
        <w:rPr>
          <w:rFonts w:ascii="Times New Roman" w:eastAsiaTheme="minorEastAsia" w:hAnsi="Times New Roman" w:cs="Times New Roman"/>
          <w:sz w:val="24"/>
          <w:szCs w:val="24"/>
        </w:rPr>
        <w:t xml:space="preserve">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t</m:t>
            </m:r>
          </m:sub>
        </m:sSub>
      </m:oMath>
      <w:r w:rsidRPr="00AD76EB">
        <w:rPr>
          <w:rFonts w:ascii="Times New Roman" w:eastAsiaTheme="minorEastAsia" w:hAnsi="Times New Roman" w:cs="Times New Roman"/>
          <w:sz w:val="24"/>
          <w:szCs w:val="24"/>
        </w:rPr>
        <w:t xml:space="preserve"> como a possível categoria para alocar a ação </w:t>
      </w:r>
      <m:oMath>
        <m:r>
          <w:rPr>
            <w:rFonts w:ascii="Cambria Math" w:eastAsiaTheme="minorEastAsia" w:hAnsi="Cambria Math" w:cs="Times New Roman"/>
            <w:sz w:val="24"/>
            <w:szCs w:val="24"/>
          </w:rPr>
          <m:t>a</m:t>
        </m:r>
      </m:oMath>
      <w:r w:rsidRPr="00AD76EB">
        <w:rPr>
          <w:rFonts w:ascii="Times New Roman" w:eastAsiaTheme="minorEastAsia" w:hAnsi="Times New Roman" w:cs="Times New Roman"/>
          <w:sz w:val="24"/>
          <w:szCs w:val="24"/>
        </w:rPr>
        <w:t xml:space="preserve">. Caso contrário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t+1</m:t>
            </m:r>
          </m:sub>
        </m:sSub>
      </m:oMath>
      <w:r w:rsidRPr="00AD76EB">
        <w:rPr>
          <w:rFonts w:ascii="Times New Roman" w:eastAsiaTheme="minorEastAsia" w:hAnsi="Times New Roman" w:cs="Times New Roman"/>
          <w:sz w:val="24"/>
          <w:szCs w:val="24"/>
        </w:rPr>
        <w:t xml:space="preserve">. Onde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e>
        </m:d>
        <m:r>
          <w:rPr>
            <w:rFonts w:ascii="Cambria Math" w:eastAsiaTheme="minorEastAsia" w:hAnsi="Cambria Math" w:cs="Times New Roman"/>
            <w:sz w:val="24"/>
            <w:szCs w:val="24"/>
          </w:rPr>
          <m:t>=min{σ</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e>
        </m:d>
        <m:r>
          <w:rPr>
            <w:rFonts w:ascii="Cambria Math" w:eastAsiaTheme="minorEastAsia" w:hAnsi="Cambria Math" w:cs="Times New Roman"/>
            <w:sz w:val="24"/>
            <w:szCs w:val="24"/>
          </w:rPr>
          <m:t>, 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 a</m:t>
            </m:r>
          </m:e>
        </m:d>
        <m:r>
          <w:rPr>
            <w:rFonts w:ascii="Cambria Math" w:eastAsiaTheme="minorEastAsia" w:hAnsi="Cambria Math" w:cs="Times New Roman"/>
            <w:sz w:val="24"/>
            <w:szCs w:val="24"/>
          </w:rPr>
          <m:t>}</m:t>
        </m:r>
      </m:oMath>
      <w:r w:rsidRPr="00AD76EB">
        <w:rPr>
          <w:rFonts w:ascii="Times New Roman" w:eastAsiaTheme="minorEastAsia" w:hAnsi="Times New Roman" w:cs="Times New Roman"/>
          <w:sz w:val="24"/>
          <w:szCs w:val="24"/>
        </w:rPr>
        <w:t>;</w:t>
      </w:r>
    </w:p>
    <w:p w:rsidR="00AD76EB" w:rsidRPr="00AD76EB" w:rsidRDefault="00AD76EB" w:rsidP="00AD76EB">
      <w:pPr>
        <w:pStyle w:val="PargrafodaLista"/>
        <w:numPr>
          <w:ilvl w:val="0"/>
          <w:numId w:val="8"/>
        </w:numPr>
        <w:spacing w:line="360" w:lineRule="auto"/>
        <w:jc w:val="both"/>
        <w:rPr>
          <w:rFonts w:ascii="Times New Roman" w:eastAsiaTheme="minorEastAsia" w:hAnsi="Times New Roman" w:cs="Times New Roman"/>
          <w:sz w:val="24"/>
          <w:szCs w:val="24"/>
        </w:rPr>
      </w:pPr>
      <w:r w:rsidRPr="00AD76EB">
        <w:rPr>
          <w:rFonts w:ascii="Times New Roman" w:eastAsiaTheme="minorEastAsia" w:hAnsi="Times New Roman" w:cs="Times New Roman"/>
          <w:sz w:val="24"/>
          <w:szCs w:val="24"/>
        </w:rPr>
        <w:t xml:space="preserve">Para </w:t>
      </w:r>
      <m:oMath>
        <m:r>
          <w:rPr>
            <w:rFonts w:ascii="Cambria Math" w:eastAsiaTheme="minorEastAsia" w:hAnsi="Cambria Math" w:cs="Times New Roman"/>
            <w:sz w:val="24"/>
            <w:szCs w:val="24"/>
          </w:rPr>
          <m:t>t=0</m:t>
        </m:r>
      </m:oMath>
      <w:r w:rsidRPr="00AD76EB">
        <w:rPr>
          <w:rFonts w:ascii="Times New Roman" w:eastAsiaTheme="minorEastAsia" w:hAnsi="Times New Roman" w:cs="Times New Roman"/>
          <w:sz w:val="24"/>
          <w:szCs w:val="24"/>
        </w:rPr>
        <w:t xml:space="preserve">,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Pr="00AD76EB">
        <w:rPr>
          <w:rFonts w:ascii="Times New Roman" w:eastAsiaTheme="minorEastAsia" w:hAnsi="Times New Roman" w:cs="Times New Roman"/>
          <w:sz w:val="24"/>
          <w:szCs w:val="24"/>
        </w:rPr>
        <w:t xml:space="preserve"> como a possível categoria para alocar a ação </w:t>
      </w:r>
      <m:oMath>
        <m:r>
          <w:rPr>
            <w:rFonts w:ascii="Cambria Math" w:eastAsiaTheme="minorEastAsia" w:hAnsi="Cambria Math" w:cs="Times New Roman"/>
            <w:sz w:val="24"/>
            <w:szCs w:val="24"/>
          </w:rPr>
          <m:t>a</m:t>
        </m:r>
      </m:oMath>
      <w:r w:rsidRPr="00AD76EB">
        <w:rPr>
          <w:rFonts w:ascii="Times New Roman" w:eastAsiaTheme="minorEastAsia" w:hAnsi="Times New Roman" w:cs="Times New Roman"/>
          <w:sz w:val="24"/>
          <w:szCs w:val="24"/>
        </w:rPr>
        <w:t>.</w:t>
      </w:r>
    </w:p>
    <w:p w:rsidR="00AD76EB" w:rsidRPr="00AD76EB" w:rsidRDefault="00AD76EB" w:rsidP="00AD76EB">
      <w:pPr>
        <w:spacing w:line="360" w:lineRule="auto"/>
        <w:ind w:firstLine="708"/>
        <w:jc w:val="both"/>
        <w:rPr>
          <w:rFonts w:ascii="Times New Roman" w:eastAsiaTheme="minorEastAsia" w:hAnsi="Times New Roman" w:cs="Times New Roman"/>
          <w:sz w:val="24"/>
          <w:szCs w:val="24"/>
        </w:rPr>
      </w:pPr>
      <w:r w:rsidRPr="00AD76EB">
        <w:rPr>
          <w:rFonts w:ascii="Times New Roman" w:eastAsiaTheme="minorEastAsia" w:hAnsi="Times New Roman" w:cs="Times New Roman"/>
          <w:sz w:val="24"/>
          <w:szCs w:val="24"/>
        </w:rPr>
        <w:t xml:space="preserve">A regra ascendente: avaliando da pior categoria até a melhor, encontra-se a primeira categoria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k</m:t>
            </m:r>
          </m:sub>
        </m:sSub>
      </m:oMath>
      <w:r w:rsidRPr="00AD76EB">
        <w:rPr>
          <w:rFonts w:ascii="Times New Roman" w:eastAsiaTheme="minorEastAsia" w:hAnsi="Times New Roman" w:cs="Times New Roman"/>
          <w:sz w:val="24"/>
          <w:szCs w:val="24"/>
        </w:rPr>
        <w:t xml:space="preserve"> que satisfaz </w:t>
      </w:r>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a</m:t>
            </m:r>
          </m:e>
        </m:d>
        <m:r>
          <w:rPr>
            <w:rFonts w:ascii="Cambria Math" w:eastAsiaTheme="minorEastAsia" w:hAnsi="Cambria Math" w:cs="Times New Roman"/>
            <w:sz w:val="24"/>
            <w:szCs w:val="24"/>
          </w:rPr>
          <m:t>≥λ</m:t>
        </m:r>
      </m:oMath>
      <w:r w:rsidRPr="00AD76EB">
        <w:rPr>
          <w:rFonts w:ascii="Times New Roman" w:eastAsiaTheme="minorEastAsia" w:hAnsi="Times New Roman" w:cs="Times New Roman"/>
          <w:sz w:val="24"/>
          <w:szCs w:val="24"/>
        </w:rPr>
        <w:t xml:space="preserve">. Em posse de </w:t>
      </w:r>
      <m:oMath>
        <m:r>
          <w:rPr>
            <w:rFonts w:ascii="Cambria Math" w:eastAsiaTheme="minorEastAsia" w:hAnsi="Cambria Math" w:cs="Times New Roman"/>
            <w:sz w:val="24"/>
            <w:szCs w:val="24"/>
          </w:rPr>
          <m:t>k</m:t>
        </m:r>
      </m:oMath>
      <w:r w:rsidRPr="00AD76EB">
        <w:rPr>
          <w:rFonts w:ascii="Times New Roman" w:eastAsiaTheme="minorEastAsia" w:hAnsi="Times New Roman" w:cs="Times New Roman"/>
          <w:sz w:val="24"/>
          <w:szCs w:val="24"/>
        </w:rPr>
        <w:t>:</w:t>
      </w:r>
    </w:p>
    <w:p w:rsidR="00AD76EB" w:rsidRPr="00AD76EB" w:rsidRDefault="00AD76EB" w:rsidP="00AD76EB">
      <w:pPr>
        <w:pStyle w:val="PargrafodaLista"/>
        <w:numPr>
          <w:ilvl w:val="0"/>
          <w:numId w:val="7"/>
        </w:numPr>
        <w:spacing w:line="360" w:lineRule="auto"/>
        <w:jc w:val="both"/>
        <w:rPr>
          <w:rFonts w:ascii="Times New Roman" w:eastAsiaTheme="minorEastAsia" w:hAnsi="Times New Roman" w:cs="Times New Roman"/>
          <w:sz w:val="24"/>
          <w:szCs w:val="24"/>
        </w:rPr>
      </w:pPr>
      <w:r w:rsidRPr="00AD76EB">
        <w:rPr>
          <w:rFonts w:ascii="Times New Roman" w:eastAsiaTheme="minorEastAsia" w:hAnsi="Times New Roman" w:cs="Times New Roman"/>
          <w:sz w:val="24"/>
          <w:szCs w:val="24"/>
        </w:rPr>
        <w:t xml:space="preserve">Para </w:t>
      </w:r>
      <m:oMath>
        <m:r>
          <w:rPr>
            <w:rFonts w:ascii="Cambria Math" w:eastAsiaTheme="minorEastAsia" w:hAnsi="Cambria Math" w:cs="Times New Roman"/>
            <w:sz w:val="24"/>
            <w:szCs w:val="24"/>
          </w:rPr>
          <m:t>k=1</m:t>
        </m:r>
      </m:oMath>
      <w:r w:rsidRPr="00AD76EB">
        <w:rPr>
          <w:rFonts w:ascii="Times New Roman" w:eastAsiaTheme="minorEastAsia" w:hAnsi="Times New Roman" w:cs="Times New Roman"/>
          <w:sz w:val="24"/>
          <w:szCs w:val="24"/>
        </w:rPr>
        <w:t xml:space="preserve">,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Pr="00AD76EB">
        <w:rPr>
          <w:rFonts w:ascii="Times New Roman" w:eastAsiaTheme="minorEastAsia" w:hAnsi="Times New Roman" w:cs="Times New Roman"/>
          <w:sz w:val="24"/>
          <w:szCs w:val="24"/>
        </w:rPr>
        <w:t xml:space="preserve"> como a possível categoria para alocar a ação </w:t>
      </w:r>
      <m:oMath>
        <m:r>
          <w:rPr>
            <w:rFonts w:ascii="Cambria Math" w:eastAsiaTheme="minorEastAsia" w:hAnsi="Cambria Math" w:cs="Times New Roman"/>
            <w:sz w:val="24"/>
            <w:szCs w:val="24"/>
          </w:rPr>
          <m:t>a</m:t>
        </m:r>
      </m:oMath>
      <w:r w:rsidRPr="00AD76EB">
        <w:rPr>
          <w:rFonts w:ascii="Times New Roman" w:eastAsiaTheme="minorEastAsia" w:hAnsi="Times New Roman" w:cs="Times New Roman"/>
          <w:sz w:val="24"/>
          <w:szCs w:val="24"/>
        </w:rPr>
        <w:t>.</w:t>
      </w:r>
    </w:p>
    <w:p w:rsidR="00AD76EB" w:rsidRPr="00AD76EB" w:rsidRDefault="00AD76EB" w:rsidP="00AD76EB">
      <w:pPr>
        <w:pStyle w:val="PargrafodaLista"/>
        <w:numPr>
          <w:ilvl w:val="0"/>
          <w:numId w:val="7"/>
        </w:numPr>
        <w:spacing w:line="360" w:lineRule="auto"/>
        <w:jc w:val="both"/>
        <w:rPr>
          <w:rFonts w:ascii="Times New Roman" w:eastAsiaTheme="minorEastAsia" w:hAnsi="Times New Roman" w:cs="Times New Roman"/>
          <w:sz w:val="24"/>
          <w:szCs w:val="24"/>
        </w:rPr>
      </w:pPr>
      <w:r w:rsidRPr="00AD76EB">
        <w:rPr>
          <w:rFonts w:ascii="Times New Roman" w:eastAsiaTheme="minorEastAsia" w:hAnsi="Times New Roman" w:cs="Times New Roman"/>
          <w:sz w:val="24"/>
          <w:szCs w:val="24"/>
        </w:rPr>
        <w:t xml:space="preserve">Para </w:t>
      </w:r>
      <m:oMath>
        <m:r>
          <w:rPr>
            <w:rFonts w:ascii="Cambria Math" w:eastAsiaTheme="minorEastAsia" w:hAnsi="Cambria Math" w:cs="Times New Roman"/>
            <w:sz w:val="24"/>
            <w:szCs w:val="24"/>
          </w:rPr>
          <m:t>1&lt;k&lt;q</m:t>
        </m:r>
        <w:proofErr w:type="gramStart"/>
        <m:r>
          <w:rPr>
            <w:rFonts w:ascii="Cambria Math" w:eastAsiaTheme="minorEastAsia" w:hAnsi="Cambria Math" w:cs="Times New Roman"/>
            <w:sz w:val="24"/>
            <w:szCs w:val="24"/>
          </w:rPr>
          <m:t>+1)</m:t>
        </m:r>
      </m:oMath>
      <w:proofErr w:type="gramEnd"/>
      <w:r w:rsidRPr="00AD76EB">
        <w:rPr>
          <w:rFonts w:ascii="Times New Roman" w:eastAsiaTheme="minorEastAsia" w:hAnsi="Times New Roman" w:cs="Times New Roman"/>
          <w:sz w:val="24"/>
          <w:szCs w:val="24"/>
        </w:rPr>
        <w:t xml:space="preserve">, se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&gt;p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k-1</m:t>
                </m:r>
              </m:sub>
            </m:sSub>
          </m:e>
        </m:d>
      </m:oMath>
      <w:r w:rsidRPr="00AD76EB">
        <w:rPr>
          <w:rFonts w:ascii="Times New Roman" w:eastAsiaTheme="minorEastAsia" w:hAnsi="Times New Roman" w:cs="Times New Roman"/>
          <w:sz w:val="24"/>
          <w:szCs w:val="24"/>
        </w:rPr>
        <w:t xml:space="preserve">,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m:t>
            </m:r>
          </m:sub>
        </m:sSub>
      </m:oMath>
      <w:r w:rsidRPr="00AD76EB">
        <w:rPr>
          <w:rFonts w:ascii="Times New Roman" w:eastAsiaTheme="minorEastAsia" w:hAnsi="Times New Roman" w:cs="Times New Roman"/>
          <w:sz w:val="24"/>
          <w:szCs w:val="24"/>
        </w:rPr>
        <w:t xml:space="preserve"> como a possível categoria para alocar a ação </w:t>
      </w:r>
      <m:oMath>
        <m:r>
          <w:rPr>
            <w:rFonts w:ascii="Cambria Math" w:eastAsiaTheme="minorEastAsia" w:hAnsi="Cambria Math" w:cs="Times New Roman"/>
            <w:sz w:val="24"/>
            <w:szCs w:val="24"/>
          </w:rPr>
          <m:t>a</m:t>
        </m:r>
      </m:oMath>
      <w:r w:rsidR="00972BDB">
        <w:rPr>
          <w:rFonts w:ascii="Times New Roman" w:eastAsiaTheme="minorEastAsia" w:hAnsi="Times New Roman" w:cs="Times New Roman"/>
          <w:sz w:val="24"/>
          <w:szCs w:val="24"/>
        </w:rPr>
        <w:t>. Caso contrá</w:t>
      </w:r>
      <w:r w:rsidRPr="00AD76EB">
        <w:rPr>
          <w:rFonts w:ascii="Times New Roman" w:eastAsiaTheme="minorEastAsia" w:hAnsi="Times New Roman" w:cs="Times New Roman"/>
          <w:sz w:val="24"/>
          <w:szCs w:val="24"/>
        </w:rPr>
        <w:t xml:space="preserve">rio,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k-1</m:t>
            </m:r>
          </m:sub>
        </m:sSub>
      </m:oMath>
      <w:r w:rsidRPr="00AD76EB">
        <w:rPr>
          <w:rFonts w:ascii="Times New Roman" w:eastAsiaTheme="minorEastAsia" w:hAnsi="Times New Roman" w:cs="Times New Roman"/>
          <w:sz w:val="24"/>
          <w:szCs w:val="24"/>
        </w:rPr>
        <w:t xml:space="preserve">. Onde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e>
        </m:d>
        <m:r>
          <w:rPr>
            <w:rFonts w:ascii="Cambria Math" w:eastAsiaTheme="minorEastAsia" w:hAnsi="Cambria Math" w:cs="Times New Roman"/>
            <w:sz w:val="24"/>
            <w:szCs w:val="24"/>
          </w:rPr>
          <m:t>=min{σ</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e>
        </m:d>
        <m:r>
          <w:rPr>
            <w:rFonts w:ascii="Cambria Math" w:eastAsiaTheme="minorEastAsia" w:hAnsi="Cambria Math" w:cs="Times New Roman"/>
            <w:sz w:val="24"/>
            <w:szCs w:val="24"/>
          </w:rPr>
          <m:t>, 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 a</m:t>
            </m:r>
          </m:e>
        </m:d>
        <m:r>
          <w:rPr>
            <w:rFonts w:ascii="Cambria Math" w:eastAsiaTheme="minorEastAsia" w:hAnsi="Cambria Math" w:cs="Times New Roman"/>
            <w:sz w:val="24"/>
            <w:szCs w:val="24"/>
          </w:rPr>
          <m:t>}</m:t>
        </m:r>
      </m:oMath>
      <w:r w:rsidRPr="00AD76EB">
        <w:rPr>
          <w:rFonts w:ascii="Times New Roman" w:eastAsiaTheme="minorEastAsia" w:hAnsi="Times New Roman" w:cs="Times New Roman"/>
          <w:sz w:val="24"/>
          <w:szCs w:val="24"/>
        </w:rPr>
        <w:t>.</w:t>
      </w:r>
    </w:p>
    <w:p w:rsidR="00AD76EB" w:rsidRPr="00AD76EB" w:rsidRDefault="00AD76EB" w:rsidP="00AD76EB">
      <w:pPr>
        <w:pStyle w:val="PargrafodaLista"/>
        <w:numPr>
          <w:ilvl w:val="0"/>
          <w:numId w:val="7"/>
        </w:numPr>
        <w:spacing w:line="360" w:lineRule="auto"/>
        <w:jc w:val="both"/>
        <w:rPr>
          <w:rFonts w:ascii="Times New Roman" w:eastAsiaTheme="minorEastAsia" w:hAnsi="Times New Roman" w:cs="Times New Roman"/>
          <w:sz w:val="24"/>
          <w:szCs w:val="24"/>
        </w:rPr>
      </w:pPr>
      <w:r w:rsidRPr="00AD76EB">
        <w:rPr>
          <w:rFonts w:ascii="Times New Roman" w:eastAsiaTheme="minorEastAsia" w:hAnsi="Times New Roman" w:cs="Times New Roman"/>
          <w:sz w:val="24"/>
          <w:szCs w:val="24"/>
        </w:rPr>
        <w:t xml:space="preserve">Para </w:t>
      </w:r>
      <m:oMath>
        <m:r>
          <w:rPr>
            <w:rFonts w:ascii="Cambria Math" w:eastAsiaTheme="minorEastAsia" w:hAnsi="Cambria Math" w:cs="Times New Roman"/>
            <w:sz w:val="24"/>
            <w:szCs w:val="24"/>
          </w:rPr>
          <m:t>k=</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q+1</m:t>
            </m:r>
          </m:e>
        </m:d>
      </m:oMath>
      <w:r w:rsidRPr="00AD76EB">
        <w:rPr>
          <w:rFonts w:ascii="Times New Roman" w:eastAsiaTheme="minorEastAsia" w:hAnsi="Times New Roman" w:cs="Times New Roman"/>
          <w:sz w:val="24"/>
          <w:szCs w:val="24"/>
        </w:rPr>
        <w:t xml:space="preserve">, selecionar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q</m:t>
            </m:r>
          </m:sub>
        </m:sSub>
      </m:oMath>
      <w:r w:rsidRPr="00AD76EB">
        <w:rPr>
          <w:rFonts w:ascii="Times New Roman" w:eastAsiaTheme="minorEastAsia" w:hAnsi="Times New Roman" w:cs="Times New Roman"/>
          <w:sz w:val="24"/>
          <w:szCs w:val="24"/>
        </w:rPr>
        <w:t xml:space="preserve"> como a possível categoria para alocar a ação </w:t>
      </w:r>
      <m:oMath>
        <m:r>
          <w:rPr>
            <w:rFonts w:ascii="Cambria Math" w:eastAsiaTheme="minorEastAsia" w:hAnsi="Cambria Math" w:cs="Times New Roman"/>
            <w:sz w:val="24"/>
            <w:szCs w:val="24"/>
          </w:rPr>
          <m:t>a</m:t>
        </m:r>
      </m:oMath>
      <w:r w:rsidRPr="00AD76EB">
        <w:rPr>
          <w:rFonts w:ascii="Times New Roman" w:eastAsiaTheme="minorEastAsia" w:hAnsi="Times New Roman" w:cs="Times New Roman"/>
          <w:sz w:val="24"/>
          <w:szCs w:val="24"/>
        </w:rPr>
        <w:t>.</w:t>
      </w:r>
    </w:p>
    <w:p w:rsidR="005E5A7D" w:rsidRDefault="002101BA" w:rsidP="005E5A7D">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5E5A7D">
        <w:rPr>
          <w:rFonts w:ascii="Times New Roman" w:hAnsi="Times New Roman" w:cs="Times New Roman"/>
          <w:b/>
          <w:sz w:val="24"/>
          <w:szCs w:val="24"/>
        </w:rPr>
        <w:t>. Metodologia</w:t>
      </w:r>
      <w:r w:rsidR="00D34C88">
        <w:rPr>
          <w:rFonts w:ascii="Times New Roman" w:hAnsi="Times New Roman" w:cs="Times New Roman"/>
          <w:b/>
          <w:sz w:val="24"/>
          <w:szCs w:val="24"/>
        </w:rPr>
        <w:t xml:space="preserve"> utilizada na avaliação dos cursos de Licenciatura em Matemática </w:t>
      </w:r>
    </w:p>
    <w:p w:rsidR="005E5A7D" w:rsidRPr="00531739" w:rsidRDefault="005E5A7D" w:rsidP="005E5A7D">
      <w:pPr>
        <w:spacing w:line="360" w:lineRule="auto"/>
        <w:ind w:firstLine="708"/>
        <w:jc w:val="both"/>
        <w:rPr>
          <w:rFonts w:ascii="Times New Roman" w:eastAsiaTheme="minorEastAsia" w:hAnsi="Times New Roman" w:cs="Times New Roman"/>
          <w:sz w:val="24"/>
          <w:szCs w:val="24"/>
        </w:rPr>
      </w:pPr>
      <w:r w:rsidRPr="00531739">
        <w:rPr>
          <w:rFonts w:ascii="Times New Roman" w:hAnsi="Times New Roman" w:cs="Times New Roman"/>
          <w:sz w:val="24"/>
          <w:szCs w:val="24"/>
        </w:rPr>
        <w:t xml:space="preserve">Os dados que contem o desempenho dos cursos de graduação em matemática utilizados neste trabalho estão disponíveis no site do INEP na forma de planilha eletrônica. Essa planilha contém o desempenho de cada curso de graduação com relação a cada critério utilizado para o cálculo do CPC.   Assim, para a aplicação do ELECTRE TRI-C será utilizada a planilha disponibilizada pelo INEP do CPC do ano de 2011, </w:t>
      </w:r>
      <w:r w:rsidR="002101BA">
        <w:rPr>
          <w:rFonts w:ascii="Times New Roman" w:hAnsi="Times New Roman" w:cs="Times New Roman"/>
          <w:sz w:val="24"/>
          <w:szCs w:val="24"/>
        </w:rPr>
        <w:t xml:space="preserve">que corresponde ao triênio </w:t>
      </w:r>
      <w:r w:rsidR="002101BA">
        <w:rPr>
          <w:rFonts w:ascii="Times New Roman" w:hAnsi="Times New Roman" w:cs="Times New Roman"/>
          <w:sz w:val="24"/>
          <w:szCs w:val="24"/>
        </w:rPr>
        <w:lastRenderedPageBreak/>
        <w:t xml:space="preserve">2009-2011. Esses eram os dados mais recentes da avaliação dos cursos de Licenciatura em matemática </w:t>
      </w:r>
      <w:r w:rsidR="00C03DBC">
        <w:rPr>
          <w:rFonts w:ascii="Times New Roman" w:hAnsi="Times New Roman" w:cs="Times New Roman"/>
          <w:sz w:val="24"/>
          <w:szCs w:val="24"/>
        </w:rPr>
        <w:t xml:space="preserve">disponíveis. </w:t>
      </w:r>
      <w:r w:rsidRPr="00531739">
        <w:rPr>
          <w:rFonts w:ascii="Times New Roman" w:hAnsi="Times New Roman" w:cs="Times New Roman"/>
          <w:sz w:val="24"/>
          <w:szCs w:val="24"/>
        </w:rPr>
        <w:t xml:space="preserve">Uma planilha eletrônica foi desenvolvida para realizar os cálculos do ELECTRE TRI-C. Os princípios metodológicos do ELECTRE TRI-C utilizados no trabalho encontram-se em Almeida-Dias </w:t>
      </w:r>
      <w:proofErr w:type="gramStart"/>
      <w:r w:rsidRPr="00531739">
        <w:rPr>
          <w:rFonts w:ascii="Times New Roman" w:hAnsi="Times New Roman" w:cs="Times New Roman"/>
          <w:i/>
          <w:sz w:val="24"/>
          <w:szCs w:val="24"/>
        </w:rPr>
        <w:t>et</w:t>
      </w:r>
      <w:proofErr w:type="gramEnd"/>
      <w:r w:rsidRPr="00531739">
        <w:rPr>
          <w:rFonts w:ascii="Times New Roman" w:hAnsi="Times New Roman" w:cs="Times New Roman"/>
          <w:i/>
          <w:sz w:val="24"/>
          <w:szCs w:val="24"/>
        </w:rPr>
        <w:t xml:space="preserve"> al.</w:t>
      </w:r>
      <w:r w:rsidRPr="00531739">
        <w:rPr>
          <w:rFonts w:ascii="Times New Roman" w:hAnsi="Times New Roman" w:cs="Times New Roman"/>
          <w:sz w:val="24"/>
          <w:szCs w:val="24"/>
        </w:rPr>
        <w:t xml:space="preserve"> (2010).</w:t>
      </w:r>
    </w:p>
    <w:p w:rsidR="005E5A7D" w:rsidRPr="005E5A7D" w:rsidRDefault="005E5A7D" w:rsidP="005E5A7D">
      <w:pPr>
        <w:spacing w:line="360" w:lineRule="auto"/>
        <w:ind w:firstLine="708"/>
        <w:jc w:val="both"/>
        <w:rPr>
          <w:rFonts w:ascii="Times New Roman" w:hAnsi="Times New Roman" w:cs="Times New Roman"/>
          <w:sz w:val="24"/>
          <w:szCs w:val="24"/>
        </w:rPr>
      </w:pPr>
      <w:r w:rsidRPr="00531739">
        <w:rPr>
          <w:rFonts w:ascii="Times New Roman" w:hAnsi="Times New Roman" w:cs="Times New Roman"/>
          <w:sz w:val="24"/>
          <w:szCs w:val="24"/>
        </w:rPr>
        <w:t xml:space="preserve">Os critérios e os pesos utilizados </w:t>
      </w:r>
      <w:r w:rsidR="002101BA">
        <w:rPr>
          <w:rFonts w:ascii="Times New Roman" w:hAnsi="Times New Roman" w:cs="Times New Roman"/>
          <w:sz w:val="24"/>
          <w:szCs w:val="24"/>
        </w:rPr>
        <w:t>foram</w:t>
      </w:r>
      <w:r w:rsidRPr="00531739">
        <w:rPr>
          <w:rFonts w:ascii="Times New Roman" w:hAnsi="Times New Roman" w:cs="Times New Roman"/>
          <w:sz w:val="24"/>
          <w:szCs w:val="24"/>
        </w:rPr>
        <w:t xml:space="preserve"> os mesmos que o INEP considera para o cálculo do CPC e estão na tabela </w:t>
      </w:r>
      <w:r>
        <w:rPr>
          <w:rFonts w:ascii="Times New Roman" w:hAnsi="Times New Roman" w:cs="Times New Roman"/>
          <w:sz w:val="24"/>
          <w:szCs w:val="24"/>
        </w:rPr>
        <w:t>1</w:t>
      </w:r>
      <w:r w:rsidRPr="00531739">
        <w:rPr>
          <w:rFonts w:ascii="Times New Roman" w:hAnsi="Times New Roman" w:cs="Times New Roman"/>
          <w:sz w:val="24"/>
          <w:szCs w:val="24"/>
        </w:rPr>
        <w:t xml:space="preserve">. </w:t>
      </w:r>
      <w:r>
        <w:rPr>
          <w:rFonts w:ascii="Times New Roman" w:hAnsi="Times New Roman" w:cs="Times New Roman"/>
          <w:sz w:val="24"/>
          <w:szCs w:val="24"/>
        </w:rPr>
        <w:t>A</w:t>
      </w:r>
      <w:r w:rsidRPr="00531739">
        <w:rPr>
          <w:rFonts w:ascii="Times New Roman" w:hAnsi="Times New Roman" w:cs="Times New Roman"/>
          <w:sz w:val="24"/>
          <w:szCs w:val="24"/>
        </w:rPr>
        <w:t xml:space="preserve">s alternativas </w:t>
      </w:r>
      <w:r w:rsidR="001220FB">
        <w:rPr>
          <w:rFonts w:ascii="Times New Roman" w:hAnsi="Times New Roman" w:cs="Times New Roman"/>
          <w:sz w:val="24"/>
          <w:szCs w:val="24"/>
        </w:rPr>
        <w:t>foram</w:t>
      </w:r>
      <w:r w:rsidRPr="00531739">
        <w:rPr>
          <w:rFonts w:ascii="Times New Roman" w:hAnsi="Times New Roman" w:cs="Times New Roman"/>
          <w:sz w:val="24"/>
          <w:szCs w:val="24"/>
        </w:rPr>
        <w:t xml:space="preserve"> os 2</w:t>
      </w:r>
      <w:r>
        <w:rPr>
          <w:rFonts w:ascii="Times New Roman" w:hAnsi="Times New Roman" w:cs="Times New Roman"/>
          <w:sz w:val="24"/>
          <w:szCs w:val="24"/>
        </w:rPr>
        <w:t>66</w:t>
      </w:r>
      <w:r w:rsidRPr="00531739">
        <w:rPr>
          <w:rFonts w:ascii="Times New Roman" w:hAnsi="Times New Roman" w:cs="Times New Roman"/>
          <w:sz w:val="24"/>
          <w:szCs w:val="24"/>
        </w:rPr>
        <w:t xml:space="preserve"> cursos de Licenciatura em Matemática </w:t>
      </w:r>
      <w:r>
        <w:rPr>
          <w:rFonts w:ascii="Times New Roman" w:hAnsi="Times New Roman" w:cs="Times New Roman"/>
          <w:sz w:val="24"/>
          <w:szCs w:val="24"/>
        </w:rPr>
        <w:t>de</w:t>
      </w:r>
      <w:r w:rsidRPr="00531739">
        <w:rPr>
          <w:rFonts w:ascii="Times New Roman" w:hAnsi="Times New Roman" w:cs="Times New Roman"/>
          <w:sz w:val="24"/>
          <w:szCs w:val="24"/>
        </w:rPr>
        <w:t xml:space="preserve"> todo o Brasil que obtiveram conceito na a</w:t>
      </w:r>
      <w:r>
        <w:rPr>
          <w:rFonts w:ascii="Times New Roman" w:hAnsi="Times New Roman" w:cs="Times New Roman"/>
          <w:sz w:val="24"/>
          <w:szCs w:val="24"/>
        </w:rPr>
        <w:t>valiação do INEP através do CPC</w:t>
      </w:r>
      <w:r w:rsidRPr="00531739">
        <w:rPr>
          <w:rFonts w:ascii="Times New Roman" w:hAnsi="Times New Roman" w:cs="Times New Roman"/>
          <w:sz w:val="24"/>
          <w:szCs w:val="24"/>
        </w:rPr>
        <w:t xml:space="preserve">. </w:t>
      </w:r>
    </w:p>
    <w:p w:rsidR="005E5A7D" w:rsidRPr="00531739" w:rsidRDefault="005E5A7D" w:rsidP="005E5A7D">
      <w:pPr>
        <w:spacing w:line="360" w:lineRule="auto"/>
        <w:ind w:firstLine="708"/>
        <w:jc w:val="both"/>
        <w:rPr>
          <w:rFonts w:ascii="Times New Roman" w:hAnsi="Times New Roman" w:cs="Times New Roman"/>
          <w:sz w:val="24"/>
          <w:szCs w:val="24"/>
        </w:rPr>
      </w:pPr>
      <w:r w:rsidRPr="00531739">
        <w:rPr>
          <w:rFonts w:ascii="Times New Roman" w:hAnsi="Times New Roman" w:cs="Times New Roman"/>
          <w:sz w:val="24"/>
          <w:szCs w:val="24"/>
        </w:rPr>
        <w:t xml:space="preserve">O resultado obtido no método ELECTRE TRI-C é a alocação das alternativas em classes pré-definidas através das comparações de cada alternativa com as ações de referência que definem cada categoria. Estas classes são ordenadas e serão definidas como C1, C2, C3, C4 e C5. Onde C1 é a pior categoria e C5 a melhor. </w:t>
      </w:r>
      <w:r>
        <w:rPr>
          <w:rFonts w:ascii="Times New Roman" w:hAnsi="Times New Roman" w:cs="Times New Roman"/>
          <w:sz w:val="24"/>
          <w:szCs w:val="24"/>
        </w:rPr>
        <w:t xml:space="preserve"> Os conceitos atribuídos a cada categoria foram definidos de acordo com os conceitos do INEP para o CPC. Segundo ele, cursos com conceito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são classificados como satisfatórios, acima de três os cursos são considerados com conceito bom. Já cursos com conceito abaixo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são considerados cursos ruins, com conceito insuficiente. A</w:t>
      </w:r>
      <w:r w:rsidRPr="00531739">
        <w:rPr>
          <w:rFonts w:ascii="Times New Roman" w:hAnsi="Times New Roman" w:cs="Times New Roman"/>
          <w:sz w:val="24"/>
          <w:szCs w:val="24"/>
        </w:rPr>
        <w:t xml:space="preserve"> seguinte representação de cada classe é definida </w:t>
      </w:r>
      <w:r>
        <w:rPr>
          <w:rFonts w:ascii="Times New Roman" w:hAnsi="Times New Roman" w:cs="Times New Roman"/>
          <w:sz w:val="24"/>
          <w:szCs w:val="24"/>
        </w:rPr>
        <w:t>(</w:t>
      </w:r>
      <w:r w:rsidRPr="00531739">
        <w:rPr>
          <w:rFonts w:ascii="Times New Roman" w:hAnsi="Times New Roman" w:cs="Times New Roman"/>
          <w:sz w:val="24"/>
          <w:szCs w:val="24"/>
        </w:rPr>
        <w:t xml:space="preserve">tabela </w:t>
      </w:r>
      <w:r w:rsidR="0046311F">
        <w:rPr>
          <w:rFonts w:ascii="Times New Roman" w:hAnsi="Times New Roman" w:cs="Times New Roman"/>
          <w:sz w:val="24"/>
          <w:szCs w:val="24"/>
        </w:rPr>
        <w:t>3</w:t>
      </w:r>
      <w:r>
        <w:rPr>
          <w:rFonts w:ascii="Times New Roman" w:hAnsi="Times New Roman" w:cs="Times New Roman"/>
          <w:sz w:val="24"/>
          <w:szCs w:val="24"/>
        </w:rPr>
        <w:t>)</w:t>
      </w:r>
      <w:r w:rsidRPr="00531739">
        <w:rPr>
          <w:rFonts w:ascii="Times New Roman" w:hAnsi="Times New Roman" w:cs="Times New Roman"/>
          <w:sz w:val="24"/>
          <w:szCs w:val="24"/>
        </w:rPr>
        <w:t>:</w:t>
      </w:r>
    </w:p>
    <w:p w:rsidR="005E5A7D" w:rsidRPr="0034299C" w:rsidRDefault="005E5A7D" w:rsidP="005E5A7D">
      <w:pPr>
        <w:pStyle w:val="Legenda"/>
        <w:spacing w:line="360" w:lineRule="auto"/>
        <w:jc w:val="center"/>
        <w:rPr>
          <w:rFonts w:ascii="Times New Roman" w:hAnsi="Times New Roman" w:cs="Times New Roman"/>
          <w:b w:val="0"/>
          <w:color w:val="auto"/>
          <w:sz w:val="22"/>
          <w:szCs w:val="22"/>
        </w:rPr>
      </w:pPr>
      <w:bookmarkStart w:id="9" w:name="_Toc412416031"/>
      <w:bookmarkStart w:id="10" w:name="_Toc413007766"/>
      <w:r w:rsidRPr="0034299C">
        <w:rPr>
          <w:rFonts w:ascii="Times New Roman" w:hAnsi="Times New Roman" w:cs="Times New Roman"/>
          <w:b w:val="0"/>
          <w:color w:val="auto"/>
          <w:sz w:val="22"/>
          <w:szCs w:val="22"/>
        </w:rPr>
        <w:t xml:space="preserve">Tabela </w:t>
      </w:r>
      <w:r w:rsidR="0046311F" w:rsidRPr="0034299C">
        <w:rPr>
          <w:rFonts w:ascii="Times New Roman" w:hAnsi="Times New Roman" w:cs="Times New Roman"/>
          <w:b w:val="0"/>
          <w:color w:val="auto"/>
          <w:sz w:val="22"/>
          <w:szCs w:val="22"/>
        </w:rPr>
        <w:t>3</w:t>
      </w:r>
      <w:r w:rsidRPr="0034299C">
        <w:rPr>
          <w:rFonts w:ascii="Times New Roman" w:hAnsi="Times New Roman" w:cs="Times New Roman"/>
          <w:b w:val="0"/>
          <w:color w:val="auto"/>
          <w:sz w:val="22"/>
          <w:szCs w:val="22"/>
        </w:rPr>
        <w:t>- Classes e suas representações</w:t>
      </w:r>
      <w:bookmarkEnd w:id="9"/>
      <w:bookmarkEnd w:id="10"/>
      <w:r w:rsidRPr="0034299C">
        <w:rPr>
          <w:rFonts w:ascii="Times New Roman" w:hAnsi="Times New Roman" w:cs="Times New Roman"/>
          <w:b w:val="0"/>
          <w:color w:val="auto"/>
          <w:sz w:val="22"/>
          <w:szCs w:val="22"/>
        </w:rPr>
        <w:t>.</w:t>
      </w:r>
    </w:p>
    <w:tbl>
      <w:tblPr>
        <w:tblStyle w:val="SombreamentoClaro1"/>
        <w:tblW w:w="0" w:type="auto"/>
        <w:tblInd w:w="1101" w:type="dxa"/>
        <w:tblLook w:val="04A0" w:firstRow="1" w:lastRow="0" w:firstColumn="1" w:lastColumn="0" w:noHBand="0" w:noVBand="1"/>
      </w:tblPr>
      <w:tblGrid>
        <w:gridCol w:w="901"/>
        <w:gridCol w:w="5954"/>
      </w:tblGrid>
      <w:tr w:rsidR="005E5A7D" w:rsidRPr="0034299C" w:rsidTr="00A16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Classes</w:t>
            </w:r>
          </w:p>
        </w:tc>
        <w:tc>
          <w:tcPr>
            <w:tcW w:w="5954" w:type="dxa"/>
            <w:shd w:val="clear" w:color="auto" w:fill="auto"/>
          </w:tcPr>
          <w:p w:rsidR="005E5A7D" w:rsidRPr="0034299C" w:rsidRDefault="005E5A7D" w:rsidP="00DA5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Representação</w:t>
            </w:r>
          </w:p>
        </w:tc>
      </w:tr>
      <w:tr w:rsidR="005E5A7D" w:rsidRPr="0034299C" w:rsidTr="00A16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C1</w:t>
            </w:r>
          </w:p>
        </w:tc>
        <w:tc>
          <w:tcPr>
            <w:tcW w:w="5954" w:type="dxa"/>
            <w:shd w:val="clear" w:color="auto" w:fill="auto"/>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Desempenho Muito Ruim</w:t>
            </w:r>
          </w:p>
        </w:tc>
      </w:tr>
      <w:tr w:rsidR="005E5A7D" w:rsidRPr="0034299C" w:rsidTr="00A1682C">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C2</w:t>
            </w:r>
          </w:p>
        </w:tc>
        <w:tc>
          <w:tcPr>
            <w:tcW w:w="5954" w:type="dxa"/>
            <w:shd w:val="clear" w:color="auto" w:fill="auto"/>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Desempenho Ruim</w:t>
            </w:r>
          </w:p>
        </w:tc>
      </w:tr>
      <w:tr w:rsidR="005E5A7D" w:rsidRPr="0034299C" w:rsidTr="00A16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C3</w:t>
            </w:r>
          </w:p>
        </w:tc>
        <w:tc>
          <w:tcPr>
            <w:tcW w:w="5954" w:type="dxa"/>
            <w:shd w:val="clear" w:color="auto" w:fill="auto"/>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Desempenho Satisfatório</w:t>
            </w:r>
          </w:p>
        </w:tc>
      </w:tr>
      <w:tr w:rsidR="005E5A7D" w:rsidRPr="0034299C" w:rsidTr="00A1682C">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C4</w:t>
            </w:r>
          </w:p>
        </w:tc>
        <w:tc>
          <w:tcPr>
            <w:tcW w:w="5954" w:type="dxa"/>
            <w:shd w:val="clear" w:color="auto" w:fill="auto"/>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Desempenho Bom</w:t>
            </w:r>
          </w:p>
        </w:tc>
      </w:tr>
      <w:tr w:rsidR="005E5A7D" w:rsidRPr="0034299C" w:rsidTr="00A16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shd w:val="clear" w:color="auto" w:fill="auto"/>
          </w:tcPr>
          <w:p w:rsidR="005E5A7D" w:rsidRPr="0034299C" w:rsidRDefault="005E5A7D" w:rsidP="00DA5641">
            <w:pPr>
              <w:jc w:val="center"/>
              <w:rPr>
                <w:rFonts w:ascii="Times New Roman" w:hAnsi="Times New Roman" w:cs="Times New Roman"/>
              </w:rPr>
            </w:pPr>
            <w:r w:rsidRPr="0034299C">
              <w:rPr>
                <w:rFonts w:ascii="Times New Roman" w:hAnsi="Times New Roman" w:cs="Times New Roman"/>
              </w:rPr>
              <w:t>C5</w:t>
            </w:r>
          </w:p>
        </w:tc>
        <w:tc>
          <w:tcPr>
            <w:tcW w:w="5954" w:type="dxa"/>
            <w:shd w:val="clear" w:color="auto" w:fill="auto"/>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299C">
              <w:rPr>
                <w:rFonts w:ascii="Times New Roman" w:hAnsi="Times New Roman" w:cs="Times New Roman"/>
              </w:rPr>
              <w:t>Desempenho Muito Bom</w:t>
            </w:r>
          </w:p>
        </w:tc>
      </w:tr>
    </w:tbl>
    <w:p w:rsidR="005E5A7D" w:rsidRPr="00FC4ED4" w:rsidRDefault="005E5A7D" w:rsidP="005E5A7D">
      <w:pPr>
        <w:spacing w:line="240" w:lineRule="auto"/>
        <w:jc w:val="both"/>
        <w:rPr>
          <w:rFonts w:ascii="Times New Roman" w:hAnsi="Times New Roman" w:cs="Times New Roman"/>
          <w:sz w:val="20"/>
          <w:szCs w:val="20"/>
        </w:rPr>
      </w:pPr>
    </w:p>
    <w:p w:rsidR="005E5A7D" w:rsidRPr="00BA503B" w:rsidRDefault="005E5A7D" w:rsidP="005E5A7D">
      <w:pPr>
        <w:pStyle w:val="Ttulo3"/>
        <w:spacing w:line="360" w:lineRule="auto"/>
        <w:ind w:firstLine="708"/>
        <w:jc w:val="both"/>
        <w:rPr>
          <w:rFonts w:ascii="Times New Roman" w:hAnsi="Times New Roman" w:cs="Times New Roman"/>
          <w:b w:val="0"/>
          <w:color w:val="auto"/>
          <w:sz w:val="24"/>
          <w:szCs w:val="24"/>
        </w:rPr>
      </w:pPr>
      <w:bookmarkStart w:id="11" w:name="_Toc413133240"/>
      <w:bookmarkStart w:id="12" w:name="_Toc413133482"/>
      <w:r w:rsidRPr="00BA503B">
        <w:rPr>
          <w:rFonts w:ascii="Times New Roman" w:hAnsi="Times New Roman" w:cs="Times New Roman"/>
          <w:b w:val="0"/>
          <w:color w:val="auto"/>
          <w:sz w:val="24"/>
          <w:szCs w:val="24"/>
        </w:rPr>
        <w:t>Para a distribuição das alternativas nas classes é necessária a definição das ações de referência, que representam o desempenho esperado para que um curso seja alocado em determinada categoria. São representadas por</w:t>
      </w:r>
      <w:r w:rsidR="0034299C">
        <w:rPr>
          <w:rFonts w:ascii="Times New Roman" w:hAnsi="Times New Roman"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0</m:t>
            </m:r>
          </m:sub>
        </m:sSub>
        <m:r>
          <m:rPr>
            <m:sty m:val="bi"/>
          </m:rPr>
          <w:rPr>
            <w:rFonts w:ascii="Cambria Math" w:hAnsi="Cambria Math" w:cs="Times New Roman"/>
            <w:color w:val="auto"/>
            <w:sz w:val="24"/>
            <w:szCs w:val="24"/>
          </w:rPr>
          <m:t xml:space="preserve">, </m:t>
        </m:r>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1</m:t>
            </m:r>
          </m:sub>
        </m:sSub>
        <m:r>
          <m:rPr>
            <m:sty m:val="bi"/>
          </m:rPr>
          <w:rPr>
            <w:rFonts w:ascii="Cambria Math" w:hAnsi="Cambria Math" w:cs="Times New Roman"/>
            <w:color w:val="auto"/>
            <w:sz w:val="24"/>
            <w:szCs w:val="24"/>
          </w:rPr>
          <m:t xml:space="preserve">, </m:t>
        </m:r>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2</m:t>
            </m:r>
          </m:sub>
        </m:sSub>
        <m:r>
          <m:rPr>
            <m:sty m:val="bi"/>
          </m:rPr>
          <w:rPr>
            <w:rFonts w:ascii="Cambria Math" w:hAnsi="Cambria Math" w:cs="Times New Roman"/>
            <w:color w:val="auto"/>
            <w:sz w:val="24"/>
            <w:szCs w:val="24"/>
          </w:rPr>
          <m:t xml:space="preserve">, </m:t>
        </m:r>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3</m:t>
            </m:r>
          </m:sub>
        </m:sSub>
        <m:r>
          <m:rPr>
            <m:sty m:val="bi"/>
          </m:rPr>
          <w:rPr>
            <w:rFonts w:ascii="Cambria Math" w:hAnsi="Cambria Math" w:cs="Times New Roman"/>
            <w:color w:val="auto"/>
            <w:sz w:val="24"/>
            <w:szCs w:val="24"/>
          </w:rPr>
          <m:t xml:space="preserve">, </m:t>
        </m:r>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4</m:t>
            </m:r>
          </m:sub>
        </m:sSub>
        <m:r>
          <m:rPr>
            <m:sty m:val="bi"/>
          </m:rPr>
          <w:rPr>
            <w:rFonts w:ascii="Cambria Math" w:hAnsi="Cambria Math" w:cs="Times New Roman"/>
            <w:color w:val="auto"/>
            <w:sz w:val="24"/>
            <w:szCs w:val="24"/>
          </w:rPr>
          <m:t xml:space="preserve">, </m:t>
        </m:r>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b</m:t>
            </m:r>
          </m:e>
          <m:sub>
            <m:r>
              <m:rPr>
                <m:sty m:val="bi"/>
              </m:rPr>
              <w:rPr>
                <w:rFonts w:ascii="Cambria Math" w:hAnsi="Cambria Math" w:cs="Times New Roman"/>
                <w:color w:val="auto"/>
                <w:sz w:val="24"/>
                <w:szCs w:val="24"/>
              </w:rPr>
              <m:t>5</m:t>
            </m:r>
          </m:sub>
        </m:sSub>
      </m:oMath>
      <w:r w:rsidRPr="002B1FD4">
        <w:rPr>
          <w:rFonts w:ascii="Times New Roman" w:eastAsiaTheme="minorEastAsia" w:hAnsi="Times New Roman" w:cs="Times New Roman"/>
          <w:b w:val="0"/>
          <w:color w:val="auto"/>
          <w:sz w:val="24"/>
          <w:szCs w:val="24"/>
        </w:rPr>
        <w:t xml:space="preserve"> e </w:t>
      </w:r>
      <m:oMath>
        <m:sSub>
          <m:sSubPr>
            <m:ctrlPr>
              <w:rPr>
                <w:rFonts w:ascii="Cambria Math" w:eastAsiaTheme="minorEastAsia" w:hAnsi="Cambria Math" w:cs="Times New Roman"/>
                <w:b w:val="0"/>
                <w:i/>
                <w:color w:val="auto"/>
                <w:sz w:val="24"/>
                <w:szCs w:val="24"/>
              </w:rPr>
            </m:ctrlPr>
          </m:sSubPr>
          <m:e>
            <m:r>
              <m:rPr>
                <m:sty m:val="bi"/>
              </m:rPr>
              <w:rPr>
                <w:rFonts w:ascii="Cambria Math" w:eastAsiaTheme="minorEastAsia" w:hAnsi="Cambria Math" w:cs="Times New Roman"/>
                <w:color w:val="auto"/>
                <w:sz w:val="24"/>
                <w:szCs w:val="24"/>
              </w:rPr>
              <m:t>b</m:t>
            </m:r>
          </m:e>
          <m:sub>
            <m:r>
              <m:rPr>
                <m:sty m:val="bi"/>
              </m:rPr>
              <w:rPr>
                <w:rFonts w:ascii="Cambria Math" w:eastAsiaTheme="minorEastAsia" w:hAnsi="Cambria Math" w:cs="Times New Roman"/>
                <w:color w:val="auto"/>
                <w:sz w:val="24"/>
                <w:szCs w:val="24"/>
              </w:rPr>
              <m:t>6</m:t>
            </m:r>
          </m:sub>
        </m:sSub>
      </m:oMath>
      <w:r w:rsidRPr="002B1FD4">
        <w:rPr>
          <w:rFonts w:ascii="Times New Roman" w:eastAsiaTheme="minorEastAsia" w:hAnsi="Times New Roman" w:cs="Times New Roman"/>
          <w:b w:val="0"/>
          <w:color w:val="auto"/>
          <w:sz w:val="24"/>
          <w:szCs w:val="24"/>
        </w:rPr>
        <w:t xml:space="preserve">. </w:t>
      </w:r>
      <w:bookmarkEnd w:id="11"/>
      <w:bookmarkEnd w:id="12"/>
    </w:p>
    <w:p w:rsidR="00CB1877" w:rsidRPr="006510F9" w:rsidRDefault="005E5A7D" w:rsidP="005E5A7D">
      <w:pPr>
        <w:spacing w:line="360" w:lineRule="auto"/>
        <w:ind w:firstLine="708"/>
        <w:jc w:val="both"/>
        <w:rPr>
          <w:rFonts w:ascii="Times New Roman" w:eastAsiaTheme="minorEastAsia" w:hAnsi="Times New Roman" w:cs="Times New Roman"/>
          <w:sz w:val="24"/>
          <w:szCs w:val="24"/>
        </w:rPr>
      </w:pPr>
      <w:r w:rsidRPr="006510F9">
        <w:rPr>
          <w:rFonts w:ascii="Times New Roman" w:hAnsi="Times New Roman" w:cs="Times New Roman"/>
          <w:sz w:val="24"/>
          <w:szCs w:val="24"/>
        </w:rPr>
        <w:t xml:space="preserve">As ações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oMath>
      <w:r w:rsidRPr="006510F9">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oMath>
      <w:r w:rsidRPr="006510F9">
        <w:rPr>
          <w:rFonts w:ascii="Times New Roman" w:eastAsiaTheme="minorEastAsia" w:hAnsi="Times New Roman" w:cs="Times New Roman"/>
          <w:sz w:val="24"/>
          <w:szCs w:val="24"/>
        </w:rPr>
        <w:t xml:space="preserve"> são hipotéticas e representam o pior e o melhor desempenho possível das alternativas para cada critério. As alternativas alocadas em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0</m:t>
            </m:r>
          </m:sub>
        </m:sSub>
      </m:oMath>
      <w:r w:rsidRPr="006510F9">
        <w:rPr>
          <w:rFonts w:ascii="Times New Roman" w:eastAsiaTheme="minorEastAsia" w:hAnsi="Times New Roman" w:cs="Times New Roman"/>
          <w:sz w:val="24"/>
          <w:szCs w:val="24"/>
        </w:rPr>
        <w:t xml:space="preserve"> são realocadas em C1, a pior categoria. E as alternativas alocadas em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6</m:t>
            </m:r>
          </m:sub>
        </m:sSub>
      </m:oMath>
      <w:r w:rsidRPr="006510F9">
        <w:rPr>
          <w:rFonts w:ascii="Times New Roman" w:eastAsiaTheme="minorEastAsia" w:hAnsi="Times New Roman" w:cs="Times New Roman"/>
          <w:sz w:val="24"/>
          <w:szCs w:val="24"/>
        </w:rPr>
        <w:t xml:space="preserve"> são realocadas em C5, a melhor categoria. </w:t>
      </w:r>
      <w:r w:rsidR="00627356" w:rsidRPr="006510F9">
        <w:rPr>
          <w:rFonts w:ascii="Times New Roman" w:eastAsiaTheme="minorEastAsia" w:hAnsi="Times New Roman" w:cs="Times New Roman"/>
          <w:sz w:val="24"/>
          <w:szCs w:val="24"/>
        </w:rPr>
        <w:t>O</w:t>
      </w:r>
      <w:r w:rsidR="00627356" w:rsidRPr="006510F9">
        <w:rPr>
          <w:rFonts w:ascii="Times New Roman" w:hAnsi="Times New Roman" w:cs="Times New Roman"/>
          <w:sz w:val="24"/>
          <w:szCs w:val="24"/>
        </w:rPr>
        <w:t xml:space="preserve"> modelo foi replicado com três abordagens diferentes para as ações de referencia: a adotada neste artigo, outra com ações de referencia mais rigorosa</w:t>
      </w:r>
      <w:r w:rsidR="006510F9" w:rsidRPr="006510F9">
        <w:rPr>
          <w:rFonts w:ascii="Times New Roman" w:hAnsi="Times New Roman" w:cs="Times New Roman"/>
          <w:sz w:val="24"/>
          <w:szCs w:val="24"/>
        </w:rPr>
        <w:t>s</w:t>
      </w:r>
      <w:r w:rsidR="00627356" w:rsidRPr="006510F9">
        <w:rPr>
          <w:rFonts w:ascii="Times New Roman" w:hAnsi="Times New Roman" w:cs="Times New Roman"/>
          <w:sz w:val="24"/>
          <w:szCs w:val="24"/>
        </w:rPr>
        <w:t xml:space="preserve"> que a adotada e outra menos rigorosa</w:t>
      </w:r>
      <w:r w:rsidR="006510F9" w:rsidRPr="006510F9">
        <w:rPr>
          <w:rFonts w:ascii="Times New Roman" w:hAnsi="Times New Roman" w:cs="Times New Roman"/>
          <w:sz w:val="24"/>
          <w:szCs w:val="24"/>
        </w:rPr>
        <w:t>.</w:t>
      </w:r>
      <w:r w:rsidR="00627356" w:rsidRPr="006510F9">
        <w:rPr>
          <w:rFonts w:ascii="Times New Roman" w:hAnsi="Times New Roman" w:cs="Times New Roman"/>
          <w:sz w:val="24"/>
          <w:szCs w:val="24"/>
        </w:rPr>
        <w:t xml:space="preserve"> A escolha da metodologia adotada se deu por seus intervalos serem os mesmos que </w:t>
      </w:r>
      <w:r w:rsidR="00627356" w:rsidRPr="006510F9">
        <w:rPr>
          <w:rFonts w:ascii="Times New Roman" w:hAnsi="Times New Roman" w:cs="Times New Roman"/>
          <w:sz w:val="24"/>
          <w:szCs w:val="24"/>
        </w:rPr>
        <w:lastRenderedPageBreak/>
        <w:t xml:space="preserve">o INEP, visando </w:t>
      </w:r>
      <w:proofErr w:type="gramStart"/>
      <w:r w:rsidR="00627356" w:rsidRPr="006510F9">
        <w:rPr>
          <w:rFonts w:ascii="Times New Roman" w:hAnsi="Times New Roman" w:cs="Times New Roman"/>
          <w:sz w:val="24"/>
          <w:szCs w:val="24"/>
        </w:rPr>
        <w:t>a</w:t>
      </w:r>
      <w:proofErr w:type="gramEnd"/>
      <w:r w:rsidR="00627356" w:rsidRPr="006510F9">
        <w:rPr>
          <w:rFonts w:ascii="Times New Roman" w:hAnsi="Times New Roman" w:cs="Times New Roman"/>
          <w:sz w:val="24"/>
          <w:szCs w:val="24"/>
        </w:rPr>
        <w:t xml:space="preserve"> comparabilidade dos resultados e também por ter sido a que menos alterou a classificação dos cursos de graduação.</w:t>
      </w:r>
      <w:r w:rsidR="006510F9" w:rsidRPr="006510F9">
        <w:rPr>
          <w:rFonts w:ascii="Times New Roman" w:hAnsi="Times New Roman" w:cs="Times New Roman"/>
          <w:sz w:val="24"/>
          <w:szCs w:val="24"/>
        </w:rPr>
        <w:t xml:space="preserve"> </w:t>
      </w:r>
    </w:p>
    <w:p w:rsidR="009F455F" w:rsidRDefault="009F455F" w:rsidP="009F455F">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padronização e transformação das notas de avaliação dos cursos de graduação feitas pelo INEP faz com que todos os cursos tenham avaliações variando em faixas de CPC que tem valor mínimo </w:t>
      </w:r>
      <w:proofErr w:type="gramStart"/>
      <w:r>
        <w:rPr>
          <w:rFonts w:ascii="Times New Roman" w:eastAsiaTheme="minorEastAsia" w:hAnsi="Times New Roman" w:cs="Times New Roman"/>
          <w:sz w:val="24"/>
          <w:szCs w:val="24"/>
        </w:rPr>
        <w:t>0</w:t>
      </w:r>
      <w:proofErr w:type="gramEnd"/>
      <w:r>
        <w:rPr>
          <w:rFonts w:ascii="Times New Roman" w:eastAsiaTheme="minorEastAsia" w:hAnsi="Times New Roman" w:cs="Times New Roman"/>
          <w:sz w:val="24"/>
          <w:szCs w:val="24"/>
        </w:rPr>
        <w:t xml:space="preserve"> e valor máximo 5. A tabela 2 mostra como o INEP faz a distribuição dos conceitos nesse intervalo de 0 a 5. Observando essa tabela percebe-se que a distribuição dos conceitos nesse intervalo</w:t>
      </w:r>
      <w:r w:rsidR="00560E15">
        <w:rPr>
          <w:rFonts w:ascii="Times New Roman" w:eastAsiaTheme="minorEastAsia" w:hAnsi="Times New Roman" w:cs="Times New Roman"/>
          <w:sz w:val="24"/>
          <w:szCs w:val="24"/>
        </w:rPr>
        <w:t xml:space="preserve"> não é uniforme, por exemplo, o conceito </w:t>
      </w:r>
      <w:proofErr w:type="gramStart"/>
      <w:r w:rsidR="00560E15">
        <w:rPr>
          <w:rFonts w:ascii="Times New Roman" w:eastAsiaTheme="minorEastAsia" w:hAnsi="Times New Roman" w:cs="Times New Roman"/>
          <w:sz w:val="24"/>
          <w:szCs w:val="24"/>
        </w:rPr>
        <w:t>1</w:t>
      </w:r>
      <w:proofErr w:type="gramEnd"/>
      <w:r w:rsidR="00560E15">
        <w:rPr>
          <w:rFonts w:ascii="Times New Roman" w:eastAsiaTheme="minorEastAsia" w:hAnsi="Times New Roman" w:cs="Times New Roman"/>
          <w:sz w:val="24"/>
          <w:szCs w:val="24"/>
        </w:rPr>
        <w:t xml:space="preserve"> abrange o intervalo 0 a 0,94 enquanto que o conceito 5 abrange um intervalo maior, de 3,95 a 5.</w:t>
      </w:r>
    </w:p>
    <w:p w:rsidR="00A1682C" w:rsidRDefault="00560E15" w:rsidP="005E5A7D">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Assim, foram definidos </w:t>
      </w:r>
      <w:proofErr w:type="gramStart"/>
      <w:r w:rsidR="005E5A7D" w:rsidRPr="00BA503B">
        <w:rPr>
          <w:rFonts w:ascii="Times New Roman" w:eastAsiaTheme="minorEastAsia" w:hAnsi="Times New Roman" w:cs="Times New Roman"/>
          <w:sz w:val="24"/>
          <w:szCs w:val="24"/>
        </w:rPr>
        <w:t>5</w:t>
      </w:r>
      <w:proofErr w:type="gramEnd"/>
      <w:r w:rsidR="005E5A7D" w:rsidRPr="00BA503B">
        <w:rPr>
          <w:rFonts w:ascii="Times New Roman" w:eastAsiaTheme="minorEastAsia" w:hAnsi="Times New Roman" w:cs="Times New Roman"/>
          <w:sz w:val="24"/>
          <w:szCs w:val="24"/>
        </w:rPr>
        <w:t xml:space="preserve"> intervalos </w:t>
      </w:r>
      <w:r w:rsidR="00DA5641">
        <w:rPr>
          <w:rFonts w:ascii="Times New Roman" w:eastAsiaTheme="minorEastAsia" w:hAnsi="Times New Roman" w:cs="Times New Roman"/>
          <w:sz w:val="24"/>
          <w:szCs w:val="24"/>
        </w:rPr>
        <w:t>proporcionais as faixas definidas para o CPC na tabela 2</w:t>
      </w:r>
      <w:r>
        <w:rPr>
          <w:rFonts w:ascii="Times New Roman" w:eastAsiaTheme="minorEastAsia" w:hAnsi="Times New Roman" w:cs="Times New Roman"/>
          <w:sz w:val="24"/>
          <w:szCs w:val="24"/>
        </w:rPr>
        <w:t xml:space="preserve">, visando uma aproximação com o </w:t>
      </w:r>
      <w:r w:rsidR="00044D71">
        <w:rPr>
          <w:rFonts w:ascii="Times New Roman" w:eastAsiaTheme="minorEastAsia" w:hAnsi="Times New Roman" w:cs="Times New Roman"/>
          <w:sz w:val="24"/>
          <w:szCs w:val="24"/>
        </w:rPr>
        <w:t>intervalos já definidos pela metodologia atual</w:t>
      </w:r>
      <w:r w:rsidR="00345AC5">
        <w:rPr>
          <w:rFonts w:ascii="Times New Roman" w:eastAsiaTheme="minorEastAsia" w:hAnsi="Times New Roman" w:cs="Times New Roman"/>
          <w:sz w:val="24"/>
          <w:szCs w:val="24"/>
        </w:rPr>
        <w:t xml:space="preserve"> já que os resultados serão comparados </w:t>
      </w:r>
      <w:r w:rsidR="005E5A7D">
        <w:rPr>
          <w:rFonts w:ascii="Times New Roman" w:eastAsiaTheme="minorEastAsia" w:hAnsi="Times New Roman" w:cs="Times New Roman"/>
          <w:sz w:val="24"/>
          <w:szCs w:val="24"/>
        </w:rPr>
        <w:t>.</w:t>
      </w:r>
      <w:r w:rsidR="005E5A7D" w:rsidRPr="00BA503B">
        <w:rPr>
          <w:rFonts w:ascii="Times New Roman" w:eastAsiaTheme="minorEastAsia" w:hAnsi="Times New Roman" w:cs="Times New Roman"/>
          <w:sz w:val="24"/>
          <w:szCs w:val="24"/>
        </w:rPr>
        <w:t xml:space="preserve"> As ações de referência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4</m:t>
            </m:r>
          </m:sub>
        </m:sSub>
      </m:oMath>
      <w:r w:rsidR="005E5A7D" w:rsidRPr="00BA503B">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5</m:t>
            </m:r>
          </m:sub>
        </m:sSub>
      </m:oMath>
      <w:r w:rsidR="005E5A7D" w:rsidRPr="00BA503B">
        <w:rPr>
          <w:rFonts w:ascii="Times New Roman" w:eastAsiaTheme="minorEastAsia" w:hAnsi="Times New Roman" w:cs="Times New Roman"/>
          <w:sz w:val="24"/>
          <w:szCs w:val="24"/>
        </w:rPr>
        <w:t xml:space="preserve"> foram definidas como sendo a média desses </w:t>
      </w:r>
      <w:proofErr w:type="gramStart"/>
      <w:r w:rsidR="005E5A7D" w:rsidRPr="00BA503B">
        <w:rPr>
          <w:rFonts w:ascii="Times New Roman" w:eastAsiaTheme="minorEastAsia" w:hAnsi="Times New Roman" w:cs="Times New Roman"/>
          <w:sz w:val="24"/>
          <w:szCs w:val="24"/>
        </w:rPr>
        <w:t>5</w:t>
      </w:r>
      <w:proofErr w:type="gramEnd"/>
      <w:r w:rsidR="005E5A7D" w:rsidRPr="00BA503B">
        <w:rPr>
          <w:rFonts w:ascii="Times New Roman" w:eastAsiaTheme="minorEastAsia" w:hAnsi="Times New Roman" w:cs="Times New Roman"/>
          <w:sz w:val="24"/>
          <w:szCs w:val="24"/>
        </w:rPr>
        <w:t xml:space="preserve"> intervalos</w:t>
      </w:r>
      <w:r>
        <w:rPr>
          <w:rFonts w:ascii="Times New Roman" w:eastAsiaTheme="minorEastAsia" w:hAnsi="Times New Roman" w:cs="Times New Roman"/>
          <w:sz w:val="24"/>
          <w:szCs w:val="24"/>
        </w:rPr>
        <w:t xml:space="preserve"> e </w:t>
      </w:r>
      <w:r w:rsidR="005E5A7D" w:rsidRPr="00BA503B">
        <w:rPr>
          <w:rFonts w:ascii="Times New Roman" w:eastAsiaTheme="minorEastAsia" w:hAnsi="Times New Roman" w:cs="Times New Roman"/>
          <w:sz w:val="24"/>
          <w:szCs w:val="24"/>
        </w:rPr>
        <w:t xml:space="preserve">são mostradas na tabela </w:t>
      </w:r>
      <w:r w:rsidR="0046311F">
        <w:rPr>
          <w:rFonts w:ascii="Times New Roman" w:eastAsiaTheme="minorEastAsia" w:hAnsi="Times New Roman" w:cs="Times New Roman"/>
          <w:sz w:val="24"/>
          <w:szCs w:val="24"/>
        </w:rPr>
        <w:t>4</w:t>
      </w:r>
      <w:r w:rsidR="005E5A7D" w:rsidRPr="00BA503B">
        <w:rPr>
          <w:rFonts w:ascii="Times New Roman" w:eastAsiaTheme="minorEastAsia" w:hAnsi="Times New Roman" w:cs="Times New Roman"/>
          <w:sz w:val="24"/>
          <w:szCs w:val="24"/>
        </w:rPr>
        <w:t>.</w:t>
      </w:r>
      <w:r w:rsidR="00044D71">
        <w:rPr>
          <w:rFonts w:ascii="Times New Roman" w:eastAsiaTheme="minorEastAsia" w:hAnsi="Times New Roman" w:cs="Times New Roman"/>
          <w:sz w:val="24"/>
          <w:szCs w:val="24"/>
        </w:rPr>
        <w:t xml:space="preserve"> O fato da escolha da média como parâmetro de definição das ações de referencia vem da própria definição de ações de referencia feita por Almeida-Dias (2010) e que se encontra ilustrado na figura 2 onde</w:t>
      </w:r>
      <w:r w:rsidR="000F51B8">
        <w:rPr>
          <w:rFonts w:ascii="Times New Roman" w:eastAsiaTheme="minorEastAsia" w:hAnsi="Times New Roman" w:cs="Times New Roman"/>
          <w:sz w:val="24"/>
          <w:szCs w:val="24"/>
        </w:rPr>
        <w:t xml:space="preserve"> pelo método seriam definidas</w:t>
      </w:r>
      <w:r w:rsidR="00044D71">
        <w:rPr>
          <w:rFonts w:ascii="Times New Roman" w:eastAsiaTheme="minorEastAsia" w:hAnsi="Times New Roman" w:cs="Times New Roman"/>
          <w:sz w:val="24"/>
          <w:szCs w:val="24"/>
        </w:rPr>
        <w:t xml:space="preserve"> ações </w:t>
      </w:r>
      <w:r w:rsidR="000F51B8">
        <w:rPr>
          <w:rFonts w:ascii="Times New Roman" w:eastAsiaTheme="minorEastAsia" w:hAnsi="Times New Roman" w:cs="Times New Roman"/>
          <w:sz w:val="24"/>
          <w:szCs w:val="24"/>
        </w:rPr>
        <w:t>centrais a cada</w:t>
      </w:r>
      <w:r w:rsidR="00044D71">
        <w:rPr>
          <w:rFonts w:ascii="Times New Roman" w:eastAsiaTheme="minorEastAsia" w:hAnsi="Times New Roman" w:cs="Times New Roman"/>
          <w:sz w:val="24"/>
          <w:szCs w:val="24"/>
        </w:rPr>
        <w:t xml:space="preserve"> intervalo definido.</w:t>
      </w:r>
      <w:r w:rsidR="000F51B8">
        <w:rPr>
          <w:rFonts w:ascii="Times New Roman" w:eastAsiaTheme="minorEastAsia" w:hAnsi="Times New Roman" w:cs="Times New Roman"/>
          <w:sz w:val="24"/>
          <w:szCs w:val="24"/>
        </w:rPr>
        <w:t xml:space="preserve"> Essas ações centrais irão conter as características necessárias em cada critério para que uma alternativa, no caso um curso, seja alocado em cada categoria definida.</w:t>
      </w:r>
      <w:r w:rsidR="00DA0344">
        <w:rPr>
          <w:rFonts w:ascii="Times New Roman" w:eastAsiaTheme="minorEastAsia" w:hAnsi="Times New Roman" w:cs="Times New Roman"/>
          <w:sz w:val="24"/>
          <w:szCs w:val="24"/>
        </w:rPr>
        <w:t xml:space="preserve"> </w:t>
      </w:r>
      <w:r w:rsidR="00DA0344" w:rsidRPr="00DA0344">
        <w:rPr>
          <w:rFonts w:ascii="Times New Roman" w:eastAsiaTheme="minorEastAsia" w:hAnsi="Times New Roman" w:cs="Times New Roman"/>
          <w:sz w:val="24"/>
          <w:szCs w:val="24"/>
        </w:rPr>
        <w:t xml:space="preserve">Desta forma, pela definição dada por </w:t>
      </w:r>
      <w:r w:rsidR="00DA0344" w:rsidRPr="00DA0344">
        <w:rPr>
          <w:rFonts w:ascii="Times New Roman" w:hAnsi="Times New Roman" w:cs="Times New Roman"/>
          <w:sz w:val="24"/>
          <w:szCs w:val="24"/>
        </w:rPr>
        <w:t>Almeida-Dias (2010) as ações de referencia contem as características esperadas para que um curso seja classificado com Muito Bom, Bom, Satisfatório, Ruim e Muito Ruim.</w:t>
      </w:r>
    </w:p>
    <w:p w:rsidR="005E5A7D" w:rsidRPr="0034299C" w:rsidRDefault="005E5A7D" w:rsidP="005E5A7D">
      <w:pPr>
        <w:spacing w:line="240" w:lineRule="auto"/>
        <w:ind w:firstLine="708"/>
        <w:jc w:val="center"/>
        <w:rPr>
          <w:rFonts w:ascii="Times New Roman" w:hAnsi="Times New Roman" w:cs="Times New Roman"/>
        </w:rPr>
      </w:pPr>
      <w:r w:rsidRPr="0034299C">
        <w:rPr>
          <w:rFonts w:ascii="Times New Roman" w:hAnsi="Times New Roman" w:cs="Times New Roman"/>
        </w:rPr>
        <w:t xml:space="preserve">Tabela </w:t>
      </w:r>
      <w:r w:rsidR="0046311F" w:rsidRPr="0034299C">
        <w:rPr>
          <w:rFonts w:ascii="Times New Roman" w:hAnsi="Times New Roman" w:cs="Times New Roman"/>
        </w:rPr>
        <w:t>4</w:t>
      </w:r>
      <w:r w:rsidRPr="0034299C">
        <w:rPr>
          <w:rFonts w:ascii="Times New Roman" w:hAnsi="Times New Roman" w:cs="Times New Roman"/>
        </w:rPr>
        <w:t>- Ações de referencia dos cursos de licenciatura em matemática.</w:t>
      </w:r>
    </w:p>
    <w:tbl>
      <w:tblPr>
        <w:tblStyle w:val="SombreamentoClaro1"/>
        <w:tblpPr w:leftFromText="141" w:rightFromText="141" w:vertAnchor="text" w:tblpXSpec="center" w:tblpY="1"/>
        <w:tblW w:w="9633" w:type="dxa"/>
        <w:tblLook w:val="04A0" w:firstRow="1" w:lastRow="0" w:firstColumn="1" w:lastColumn="0" w:noHBand="0" w:noVBand="1"/>
      </w:tblPr>
      <w:tblGrid>
        <w:gridCol w:w="1231"/>
        <w:gridCol w:w="1169"/>
        <w:gridCol w:w="963"/>
        <w:gridCol w:w="992"/>
        <w:gridCol w:w="992"/>
        <w:gridCol w:w="993"/>
        <w:gridCol w:w="992"/>
        <w:gridCol w:w="850"/>
        <w:gridCol w:w="709"/>
        <w:gridCol w:w="851"/>
      </w:tblGrid>
      <w:tr w:rsidR="005E5A7D" w:rsidRPr="0034299C" w:rsidTr="00DA56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vMerge w:val="restart"/>
            <w:shd w:val="clear" w:color="auto" w:fill="auto"/>
            <w:vAlign w:val="center"/>
          </w:tcPr>
          <w:p w:rsidR="005E5A7D" w:rsidRPr="0034299C" w:rsidRDefault="005E5A7D" w:rsidP="00DA5641">
            <w:pPr>
              <w:jc w:val="center"/>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Categorias</w:t>
            </w:r>
          </w:p>
        </w:tc>
        <w:tc>
          <w:tcPr>
            <w:tcW w:w="1130" w:type="dxa"/>
            <w:vMerge w:val="restart"/>
            <w:shd w:val="clear" w:color="auto" w:fill="auto"/>
            <w:noWrap/>
            <w:vAlign w:val="center"/>
            <w:hideMark/>
          </w:tcPr>
          <w:p w:rsidR="005E5A7D" w:rsidRPr="0034299C" w:rsidRDefault="005E5A7D" w:rsidP="00DA564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Ações de referência</w:t>
            </w:r>
          </w:p>
        </w:tc>
        <w:tc>
          <w:tcPr>
            <w:tcW w:w="7342" w:type="dxa"/>
            <w:gridSpan w:val="8"/>
            <w:shd w:val="clear" w:color="auto" w:fill="auto"/>
            <w:noWrap/>
            <w:vAlign w:val="center"/>
            <w:hideMark/>
          </w:tcPr>
          <w:p w:rsidR="005E5A7D" w:rsidRPr="0034299C" w:rsidRDefault="005E5A7D" w:rsidP="00DA564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Critérios</w:t>
            </w:r>
          </w:p>
        </w:tc>
      </w:tr>
      <w:tr w:rsidR="005E5A7D" w:rsidRPr="0034299C" w:rsidTr="00DA56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vMerge/>
            <w:shd w:val="clear" w:color="auto" w:fill="auto"/>
            <w:vAlign w:val="center"/>
          </w:tcPr>
          <w:p w:rsidR="005E5A7D" w:rsidRPr="0034299C" w:rsidRDefault="005E5A7D" w:rsidP="00DA5641">
            <w:pPr>
              <w:jc w:val="center"/>
              <w:rPr>
                <w:rFonts w:ascii="Times New Roman" w:eastAsia="Calibri" w:hAnsi="Times New Roman" w:cs="Times New Roman"/>
                <w:b w:val="0"/>
                <w:color w:val="000000"/>
                <w:lang w:eastAsia="pt-BR"/>
              </w:rPr>
            </w:pPr>
          </w:p>
        </w:tc>
        <w:tc>
          <w:tcPr>
            <w:tcW w:w="1130" w:type="dxa"/>
            <w:vMerge/>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eastAsia="pt-BR"/>
              </w:rPr>
            </w:pPr>
          </w:p>
        </w:tc>
        <w:tc>
          <w:tcPr>
            <w:tcW w:w="963"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Cr1</w:t>
            </w:r>
          </w:p>
        </w:tc>
        <w:tc>
          <w:tcPr>
            <w:tcW w:w="992"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Cr2</w:t>
            </w:r>
          </w:p>
        </w:tc>
        <w:tc>
          <w:tcPr>
            <w:tcW w:w="992"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Cr3</w:t>
            </w:r>
          </w:p>
        </w:tc>
        <w:tc>
          <w:tcPr>
            <w:tcW w:w="993"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Cr4</w:t>
            </w:r>
          </w:p>
        </w:tc>
        <w:tc>
          <w:tcPr>
            <w:tcW w:w="992"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Cr5</w:t>
            </w:r>
          </w:p>
        </w:tc>
        <w:tc>
          <w:tcPr>
            <w:tcW w:w="850"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Cr6</w:t>
            </w:r>
          </w:p>
        </w:tc>
        <w:tc>
          <w:tcPr>
            <w:tcW w:w="709"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Cr7</w:t>
            </w:r>
          </w:p>
        </w:tc>
        <w:tc>
          <w:tcPr>
            <w:tcW w:w="851" w:type="dxa"/>
            <w:shd w:val="clear" w:color="auto" w:fill="auto"/>
            <w:noWrap/>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w:r w:rsidRPr="0034299C">
              <w:rPr>
                <w:rFonts w:ascii="Times New Roman" w:eastAsia="Times New Roman" w:hAnsi="Times New Roman" w:cs="Times New Roman"/>
                <w:b/>
                <w:color w:val="000000"/>
                <w:lang w:eastAsia="pt-BR"/>
              </w:rPr>
              <w:t>Cr8</w:t>
            </w:r>
          </w:p>
        </w:tc>
      </w:tr>
      <w:tr w:rsidR="005E5A7D" w:rsidRPr="0034299C" w:rsidTr="00DA5641">
        <w:trPr>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5E5A7D" w:rsidRPr="0034299C" w:rsidRDefault="005E5A7D" w:rsidP="00DA5641">
            <w:pPr>
              <w:jc w:val="center"/>
              <w:rPr>
                <w:rFonts w:ascii="Times New Roman" w:eastAsia="Calibri" w:hAnsi="Times New Roman" w:cs="Times New Roman"/>
                <w:color w:val="000000"/>
                <w:lang w:eastAsia="pt-BR"/>
              </w:rPr>
            </w:pPr>
          </w:p>
        </w:tc>
        <w:tc>
          <w:tcPr>
            <w:tcW w:w="1130" w:type="dxa"/>
            <w:shd w:val="clear" w:color="auto" w:fill="auto"/>
            <w:noWrap/>
            <w:vAlign w:val="center"/>
            <w:hideMark/>
          </w:tcPr>
          <w:p w:rsidR="005E5A7D" w:rsidRPr="0034299C" w:rsidRDefault="00267C50"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0</m:t>
                    </m:r>
                  </m:sub>
                </m:sSub>
              </m:oMath>
            </m:oMathPara>
          </w:p>
        </w:tc>
        <w:tc>
          <w:tcPr>
            <w:tcW w:w="963"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21,83</w:t>
            </w:r>
          </w:p>
        </w:tc>
        <w:tc>
          <w:tcPr>
            <w:tcW w:w="992"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15,54</w:t>
            </w:r>
          </w:p>
        </w:tc>
        <w:tc>
          <w:tcPr>
            <w:tcW w:w="992"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0,0</w:t>
            </w:r>
          </w:p>
        </w:tc>
        <w:tc>
          <w:tcPr>
            <w:tcW w:w="993"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0,34</w:t>
            </w:r>
          </w:p>
        </w:tc>
        <w:tc>
          <w:tcPr>
            <w:tcW w:w="992"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0,39</w:t>
            </w:r>
          </w:p>
        </w:tc>
        <w:tc>
          <w:tcPr>
            <w:tcW w:w="850"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0,00</w:t>
            </w:r>
          </w:p>
        </w:tc>
        <w:tc>
          <w:tcPr>
            <w:tcW w:w="709"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0,00</w:t>
            </w:r>
          </w:p>
        </w:tc>
        <w:tc>
          <w:tcPr>
            <w:tcW w:w="851" w:type="dxa"/>
            <w:shd w:val="clear" w:color="auto" w:fill="auto"/>
            <w:noWrap/>
            <w:vAlign w:val="center"/>
            <w:hideMark/>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0,00</w:t>
            </w:r>
          </w:p>
        </w:tc>
      </w:tr>
      <w:tr w:rsidR="00064525" w:rsidRPr="0034299C" w:rsidTr="00064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r w:rsidRPr="0034299C">
              <w:rPr>
                <w:rFonts w:ascii="Times New Roman" w:eastAsia="Calibri" w:hAnsi="Times New Roman" w:cs="Times New Roman"/>
                <w:color w:val="000000"/>
                <w:lang w:eastAsia="pt-BR"/>
              </w:rPr>
              <w:t>C1</w:t>
            </w:r>
          </w:p>
        </w:tc>
        <w:tc>
          <w:tcPr>
            <w:tcW w:w="1130" w:type="dxa"/>
            <w:shd w:val="clear" w:color="auto" w:fill="auto"/>
            <w:noWrap/>
            <w:vAlign w:val="center"/>
            <w:hideMark/>
          </w:tcPr>
          <w:p w:rsidR="00064525" w:rsidRPr="0034299C" w:rsidRDefault="00267C50"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1</m:t>
                    </m:r>
                  </m:sub>
                </m:sSub>
              </m:oMath>
            </m:oMathPara>
          </w:p>
        </w:tc>
        <w:tc>
          <w:tcPr>
            <w:tcW w:w="963"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25,76</w:t>
            </w:r>
          </w:p>
        </w:tc>
        <w:tc>
          <w:tcPr>
            <w:tcW w:w="992"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19,63</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0,47</w:t>
            </w:r>
          </w:p>
        </w:tc>
        <w:tc>
          <w:tcPr>
            <w:tcW w:w="993"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0,41</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0,45</w:t>
            </w:r>
          </w:p>
        </w:tc>
        <w:tc>
          <w:tcPr>
            <w:tcW w:w="850"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0,09</w:t>
            </w:r>
          </w:p>
        </w:tc>
        <w:tc>
          <w:tcPr>
            <w:tcW w:w="709"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0,09</w:t>
            </w:r>
          </w:p>
        </w:tc>
        <w:tc>
          <w:tcPr>
            <w:tcW w:w="851"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lang w:eastAsia="pt-BR"/>
              </w:rPr>
            </w:pPr>
            <w:r w:rsidRPr="0034299C">
              <w:rPr>
                <w:rFonts w:ascii="Times New Roman" w:eastAsia="Times New Roman" w:hAnsi="Times New Roman" w:cs="Times New Roman"/>
                <w:bCs/>
                <w:color w:val="000000"/>
                <w:lang w:eastAsia="pt-BR"/>
              </w:rPr>
              <w:t>0,09</w:t>
            </w:r>
          </w:p>
        </w:tc>
      </w:tr>
      <w:tr w:rsidR="00064525" w:rsidRPr="0034299C" w:rsidTr="00064525">
        <w:trPr>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r w:rsidRPr="0034299C">
              <w:rPr>
                <w:rFonts w:ascii="Times New Roman" w:eastAsia="Calibri" w:hAnsi="Times New Roman" w:cs="Times New Roman"/>
                <w:color w:val="000000"/>
                <w:lang w:eastAsia="pt-BR"/>
              </w:rPr>
              <w:t>C2</w:t>
            </w:r>
          </w:p>
        </w:tc>
        <w:tc>
          <w:tcPr>
            <w:tcW w:w="1130" w:type="dxa"/>
            <w:shd w:val="clear" w:color="auto" w:fill="auto"/>
            <w:noWrap/>
            <w:vAlign w:val="center"/>
            <w:hideMark/>
          </w:tcPr>
          <w:p w:rsidR="00064525" w:rsidRPr="0034299C" w:rsidRDefault="00267C50"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2</m:t>
                    </m:r>
                  </m:sub>
                </m:sSub>
              </m:oMath>
            </m:oMathPara>
          </w:p>
        </w:tc>
        <w:tc>
          <w:tcPr>
            <w:tcW w:w="963" w:type="dxa"/>
            <w:shd w:val="clear" w:color="auto" w:fill="auto"/>
            <w:noWrap/>
            <w:vAlign w:val="center"/>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34,10</w:t>
            </w:r>
          </w:p>
        </w:tc>
        <w:tc>
          <w:tcPr>
            <w:tcW w:w="992" w:type="dxa"/>
            <w:shd w:val="clear" w:color="auto" w:fill="auto"/>
            <w:noWrap/>
            <w:vAlign w:val="center"/>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28,03</w:t>
            </w:r>
          </w:p>
        </w:tc>
        <w:tc>
          <w:tcPr>
            <w:tcW w:w="992"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1,44</w:t>
            </w:r>
          </w:p>
        </w:tc>
        <w:tc>
          <w:tcPr>
            <w:tcW w:w="993"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0,54</w:t>
            </w:r>
          </w:p>
        </w:tc>
        <w:tc>
          <w:tcPr>
            <w:tcW w:w="992"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0,56</w:t>
            </w:r>
          </w:p>
        </w:tc>
        <w:tc>
          <w:tcPr>
            <w:tcW w:w="850"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0,29</w:t>
            </w:r>
          </w:p>
        </w:tc>
        <w:tc>
          <w:tcPr>
            <w:tcW w:w="709"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0,29</w:t>
            </w:r>
          </w:p>
        </w:tc>
        <w:tc>
          <w:tcPr>
            <w:tcW w:w="851"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0,29</w:t>
            </w:r>
          </w:p>
        </w:tc>
      </w:tr>
      <w:tr w:rsidR="00064525" w:rsidRPr="0034299C" w:rsidTr="00064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r w:rsidRPr="0034299C">
              <w:rPr>
                <w:rFonts w:ascii="Times New Roman" w:eastAsia="Calibri" w:hAnsi="Times New Roman" w:cs="Times New Roman"/>
                <w:color w:val="000000"/>
                <w:lang w:eastAsia="pt-BR"/>
              </w:rPr>
              <w:t>C3</w:t>
            </w:r>
          </w:p>
        </w:tc>
        <w:tc>
          <w:tcPr>
            <w:tcW w:w="1130" w:type="dxa"/>
            <w:shd w:val="clear" w:color="auto" w:fill="auto"/>
            <w:noWrap/>
            <w:vAlign w:val="center"/>
            <w:hideMark/>
          </w:tcPr>
          <w:p w:rsidR="00064525" w:rsidRPr="0034299C" w:rsidRDefault="00267C50"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3</m:t>
                    </m:r>
                  </m:sub>
                </m:sSub>
              </m:oMath>
            </m:oMathPara>
          </w:p>
        </w:tc>
        <w:tc>
          <w:tcPr>
            <w:tcW w:w="963"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42,91</w:t>
            </w:r>
          </w:p>
        </w:tc>
        <w:tc>
          <w:tcPr>
            <w:tcW w:w="992"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36,64</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2,44</w:t>
            </w:r>
          </w:p>
        </w:tc>
        <w:tc>
          <w:tcPr>
            <w:tcW w:w="993"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0,66</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0,68</w:t>
            </w:r>
          </w:p>
        </w:tc>
        <w:tc>
          <w:tcPr>
            <w:tcW w:w="850"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0,49</w:t>
            </w:r>
          </w:p>
        </w:tc>
        <w:tc>
          <w:tcPr>
            <w:tcW w:w="709"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0,49</w:t>
            </w:r>
          </w:p>
        </w:tc>
        <w:tc>
          <w:tcPr>
            <w:tcW w:w="851"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0,49</w:t>
            </w:r>
          </w:p>
        </w:tc>
      </w:tr>
      <w:tr w:rsidR="00064525" w:rsidRPr="0034299C" w:rsidTr="0034299C">
        <w:trPr>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r w:rsidRPr="0034299C">
              <w:rPr>
                <w:rFonts w:ascii="Times New Roman" w:eastAsia="Calibri" w:hAnsi="Times New Roman" w:cs="Times New Roman"/>
                <w:color w:val="000000"/>
                <w:lang w:eastAsia="pt-BR"/>
              </w:rPr>
              <w:t>C4</w:t>
            </w:r>
          </w:p>
        </w:tc>
        <w:tc>
          <w:tcPr>
            <w:tcW w:w="1130" w:type="dxa"/>
            <w:shd w:val="clear" w:color="auto" w:fill="auto"/>
            <w:noWrap/>
            <w:vAlign w:val="center"/>
            <w:hideMark/>
          </w:tcPr>
          <w:p w:rsidR="00064525" w:rsidRPr="0034299C" w:rsidRDefault="00267C50" w:rsidP="003429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4</m:t>
                    </m:r>
                  </m:sub>
                </m:sSub>
              </m:oMath>
            </m:oMathPara>
          </w:p>
        </w:tc>
        <w:tc>
          <w:tcPr>
            <w:tcW w:w="963" w:type="dxa"/>
            <w:shd w:val="clear" w:color="auto" w:fill="auto"/>
            <w:noWrap/>
            <w:vAlign w:val="center"/>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51,99</w:t>
            </w:r>
          </w:p>
        </w:tc>
        <w:tc>
          <w:tcPr>
            <w:tcW w:w="992" w:type="dxa"/>
            <w:shd w:val="clear" w:color="auto" w:fill="auto"/>
            <w:noWrap/>
            <w:vAlign w:val="center"/>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45,52</w:t>
            </w:r>
          </w:p>
        </w:tc>
        <w:tc>
          <w:tcPr>
            <w:tcW w:w="992"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3,44</w:t>
            </w:r>
          </w:p>
        </w:tc>
        <w:tc>
          <w:tcPr>
            <w:tcW w:w="993"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0,80</w:t>
            </w:r>
          </w:p>
        </w:tc>
        <w:tc>
          <w:tcPr>
            <w:tcW w:w="992"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0,81</w:t>
            </w:r>
          </w:p>
        </w:tc>
        <w:tc>
          <w:tcPr>
            <w:tcW w:w="850"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0,69</w:t>
            </w:r>
          </w:p>
        </w:tc>
        <w:tc>
          <w:tcPr>
            <w:tcW w:w="709"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0,69</w:t>
            </w:r>
          </w:p>
        </w:tc>
        <w:tc>
          <w:tcPr>
            <w:tcW w:w="851" w:type="dxa"/>
            <w:shd w:val="clear" w:color="auto" w:fill="auto"/>
            <w:noWrap/>
            <w:vAlign w:val="center"/>
            <w:hideMark/>
          </w:tcPr>
          <w:p w:rsidR="00064525" w:rsidRPr="0034299C" w:rsidRDefault="00064525"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0,69</w:t>
            </w:r>
          </w:p>
        </w:tc>
      </w:tr>
      <w:tr w:rsidR="00064525" w:rsidRPr="0034299C" w:rsidTr="003429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r w:rsidRPr="0034299C">
              <w:rPr>
                <w:rFonts w:ascii="Times New Roman" w:eastAsia="Calibri" w:hAnsi="Times New Roman" w:cs="Times New Roman"/>
                <w:color w:val="000000"/>
                <w:lang w:eastAsia="pt-BR"/>
              </w:rPr>
              <w:t>C5</w:t>
            </w:r>
          </w:p>
        </w:tc>
        <w:tc>
          <w:tcPr>
            <w:tcW w:w="1130" w:type="dxa"/>
            <w:shd w:val="clear" w:color="auto" w:fill="auto"/>
            <w:noWrap/>
            <w:vAlign w:val="center"/>
            <w:hideMark/>
          </w:tcPr>
          <w:p w:rsidR="00064525" w:rsidRPr="0034299C" w:rsidRDefault="00267C50" w:rsidP="003429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5</m:t>
                    </m:r>
                  </m:sub>
                </m:sSub>
              </m:oMath>
            </m:oMathPara>
          </w:p>
        </w:tc>
        <w:tc>
          <w:tcPr>
            <w:tcW w:w="963"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61,49</w:t>
            </w:r>
          </w:p>
        </w:tc>
        <w:tc>
          <w:tcPr>
            <w:tcW w:w="992" w:type="dxa"/>
            <w:shd w:val="clear" w:color="auto" w:fill="auto"/>
            <w:noWrap/>
            <w:vAlign w:val="center"/>
          </w:tcPr>
          <w:p w:rsidR="00064525" w:rsidRPr="0034299C" w:rsidRDefault="00064525"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54,57</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4,47</w:t>
            </w:r>
          </w:p>
        </w:tc>
        <w:tc>
          <w:tcPr>
            <w:tcW w:w="993"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0,93</w:t>
            </w:r>
          </w:p>
        </w:tc>
        <w:tc>
          <w:tcPr>
            <w:tcW w:w="992"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0,94</w:t>
            </w:r>
          </w:p>
        </w:tc>
        <w:tc>
          <w:tcPr>
            <w:tcW w:w="850"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0,90</w:t>
            </w:r>
          </w:p>
        </w:tc>
        <w:tc>
          <w:tcPr>
            <w:tcW w:w="709"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0,90</w:t>
            </w:r>
          </w:p>
        </w:tc>
        <w:tc>
          <w:tcPr>
            <w:tcW w:w="851" w:type="dxa"/>
            <w:shd w:val="clear" w:color="auto" w:fill="auto"/>
            <w:noWrap/>
            <w:vAlign w:val="center"/>
            <w:hideMark/>
          </w:tcPr>
          <w:p w:rsidR="00064525" w:rsidRPr="0034299C" w:rsidRDefault="00064525"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0,90</w:t>
            </w:r>
          </w:p>
        </w:tc>
      </w:tr>
      <w:tr w:rsidR="00064525" w:rsidRPr="0034299C" w:rsidTr="0034299C">
        <w:trPr>
          <w:trHeight w:val="30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rsidR="00064525" w:rsidRPr="0034299C" w:rsidRDefault="00064525" w:rsidP="00DA5641">
            <w:pPr>
              <w:jc w:val="center"/>
              <w:rPr>
                <w:rFonts w:ascii="Times New Roman" w:eastAsia="Calibri" w:hAnsi="Times New Roman" w:cs="Times New Roman"/>
                <w:color w:val="000000"/>
                <w:lang w:eastAsia="pt-BR"/>
              </w:rPr>
            </w:pPr>
          </w:p>
        </w:tc>
        <w:tc>
          <w:tcPr>
            <w:tcW w:w="1130" w:type="dxa"/>
            <w:shd w:val="clear" w:color="auto" w:fill="auto"/>
            <w:noWrap/>
            <w:vAlign w:val="center"/>
            <w:hideMark/>
          </w:tcPr>
          <w:p w:rsidR="00064525" w:rsidRPr="0034299C" w:rsidRDefault="00267C50" w:rsidP="003429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pt-BR"/>
              </w:rPr>
            </w:pPr>
            <m:oMathPara>
              <m:oMath>
                <m:sSub>
                  <m:sSubPr>
                    <m:ctrlPr>
                      <w:rPr>
                        <w:rFonts w:ascii="Cambria Math" w:eastAsia="Times New Roman" w:hAnsi="Cambria Math" w:cs="Times New Roman"/>
                        <w:b/>
                        <w:i/>
                        <w:color w:val="000000"/>
                        <w:lang w:eastAsia="pt-BR"/>
                      </w:rPr>
                    </m:ctrlPr>
                  </m:sSubPr>
                  <m:e>
                    <m:r>
                      <m:rPr>
                        <m:sty m:val="bi"/>
                      </m:rPr>
                      <w:rPr>
                        <w:rFonts w:ascii="Cambria Math" w:eastAsia="Times New Roman" w:hAnsi="Cambria Math" w:cs="Times New Roman"/>
                        <w:color w:val="000000"/>
                        <w:lang w:eastAsia="pt-BR"/>
                      </w:rPr>
                      <m:t>b</m:t>
                    </m:r>
                  </m:e>
                  <m:sub>
                    <m:r>
                      <m:rPr>
                        <m:sty m:val="bi"/>
                      </m:rPr>
                      <w:rPr>
                        <w:rFonts w:ascii="Cambria Math" w:eastAsia="Times New Roman" w:hAnsi="Cambria Math" w:cs="Times New Roman"/>
                        <w:color w:val="000000"/>
                        <w:lang w:eastAsia="pt-BR"/>
                      </w:rPr>
                      <m:t>6</m:t>
                    </m:r>
                  </m:sub>
                </m:sSub>
              </m:oMath>
            </m:oMathPara>
          </w:p>
        </w:tc>
        <w:tc>
          <w:tcPr>
            <w:tcW w:w="963" w:type="dxa"/>
            <w:shd w:val="clear" w:color="auto" w:fill="auto"/>
            <w:noWrap/>
            <w:vAlign w:val="center"/>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66,33</w:t>
            </w:r>
          </w:p>
        </w:tc>
        <w:tc>
          <w:tcPr>
            <w:tcW w:w="992"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59,05</w:t>
            </w:r>
          </w:p>
        </w:tc>
        <w:tc>
          <w:tcPr>
            <w:tcW w:w="992"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5,00</w:t>
            </w:r>
          </w:p>
        </w:tc>
        <w:tc>
          <w:tcPr>
            <w:tcW w:w="993"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1,00</w:t>
            </w:r>
          </w:p>
        </w:tc>
        <w:tc>
          <w:tcPr>
            <w:tcW w:w="992"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1,00</w:t>
            </w:r>
          </w:p>
        </w:tc>
        <w:tc>
          <w:tcPr>
            <w:tcW w:w="850"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1,00</w:t>
            </w:r>
          </w:p>
        </w:tc>
        <w:tc>
          <w:tcPr>
            <w:tcW w:w="709" w:type="dxa"/>
            <w:shd w:val="clear" w:color="auto" w:fill="auto"/>
            <w:noWrap/>
            <w:vAlign w:val="center"/>
            <w:hideMark/>
          </w:tcPr>
          <w:p w:rsidR="00064525" w:rsidRPr="0034299C" w:rsidRDefault="00064525" w:rsidP="000645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1,00</w:t>
            </w:r>
          </w:p>
        </w:tc>
        <w:tc>
          <w:tcPr>
            <w:tcW w:w="851" w:type="dxa"/>
            <w:shd w:val="clear" w:color="auto" w:fill="auto"/>
            <w:noWrap/>
            <w:vAlign w:val="center"/>
            <w:hideMark/>
          </w:tcPr>
          <w:p w:rsidR="00064525" w:rsidRPr="0034299C" w:rsidRDefault="00064525"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34299C">
              <w:rPr>
                <w:rFonts w:ascii="Times New Roman" w:eastAsia="Times New Roman" w:hAnsi="Times New Roman" w:cs="Times New Roman"/>
                <w:color w:val="000000"/>
                <w:lang w:eastAsia="pt-BR"/>
              </w:rPr>
              <w:t>1,00</w:t>
            </w:r>
          </w:p>
        </w:tc>
      </w:tr>
    </w:tbl>
    <w:p w:rsidR="005E5A7D" w:rsidRPr="000E11FF" w:rsidRDefault="005E5A7D" w:rsidP="0009412E">
      <w:pPr>
        <w:pStyle w:val="Ttulo3"/>
        <w:spacing w:line="240" w:lineRule="auto"/>
        <w:ind w:firstLine="708"/>
        <w:jc w:val="both"/>
        <w:rPr>
          <w:rFonts w:ascii="Times New Roman" w:eastAsiaTheme="minorEastAsia" w:hAnsi="Times New Roman" w:cs="Times New Roman"/>
          <w:b w:val="0"/>
          <w:color w:val="auto"/>
          <w:sz w:val="24"/>
          <w:szCs w:val="24"/>
        </w:rPr>
      </w:pPr>
      <w:r w:rsidRPr="000E11FF">
        <w:rPr>
          <w:rFonts w:ascii="Times New Roman" w:eastAsiaTheme="minorEastAsia" w:hAnsi="Times New Roman" w:cs="Times New Roman"/>
          <w:b w:val="0"/>
          <w:color w:val="auto"/>
          <w:sz w:val="24"/>
          <w:szCs w:val="24"/>
        </w:rPr>
        <w:t xml:space="preserve">Os limiares de indiferença e preferência foram definidos como 3% e 6% do valor da categoria C3 para cada critério e encontram se na tabela </w:t>
      </w:r>
      <w:r w:rsidR="0046311F" w:rsidRPr="000E11FF">
        <w:rPr>
          <w:rFonts w:ascii="Times New Roman" w:eastAsiaTheme="minorEastAsia" w:hAnsi="Times New Roman" w:cs="Times New Roman"/>
          <w:b w:val="0"/>
          <w:color w:val="auto"/>
          <w:sz w:val="24"/>
          <w:szCs w:val="24"/>
        </w:rPr>
        <w:t>5</w:t>
      </w:r>
      <w:r w:rsidRPr="000E11FF">
        <w:rPr>
          <w:rFonts w:ascii="Times New Roman" w:eastAsiaTheme="minorEastAsia" w:hAnsi="Times New Roman" w:cs="Times New Roman"/>
          <w:b w:val="0"/>
          <w:color w:val="auto"/>
          <w:sz w:val="24"/>
          <w:szCs w:val="24"/>
        </w:rPr>
        <w:t>.</w:t>
      </w:r>
      <w:r w:rsidR="00A5302A">
        <w:rPr>
          <w:rFonts w:ascii="Times New Roman" w:eastAsiaTheme="minorEastAsia" w:hAnsi="Times New Roman" w:cs="Times New Roman"/>
          <w:b w:val="0"/>
          <w:color w:val="auto"/>
          <w:sz w:val="24"/>
          <w:szCs w:val="24"/>
        </w:rPr>
        <w:t xml:space="preserve"> Esses são parâmetros subjetivos do método cabendo ao </w:t>
      </w:r>
      <w:proofErr w:type="spellStart"/>
      <w:r w:rsidR="00A5302A">
        <w:rPr>
          <w:rFonts w:ascii="Times New Roman" w:eastAsiaTheme="minorEastAsia" w:hAnsi="Times New Roman" w:cs="Times New Roman"/>
          <w:b w:val="0"/>
          <w:color w:val="auto"/>
          <w:sz w:val="24"/>
          <w:szCs w:val="24"/>
        </w:rPr>
        <w:t>decisor</w:t>
      </w:r>
      <w:proofErr w:type="spellEnd"/>
      <w:r w:rsidR="00A5302A">
        <w:rPr>
          <w:rFonts w:ascii="Times New Roman" w:eastAsiaTheme="minorEastAsia" w:hAnsi="Times New Roman" w:cs="Times New Roman"/>
          <w:b w:val="0"/>
          <w:color w:val="auto"/>
          <w:sz w:val="24"/>
          <w:szCs w:val="24"/>
        </w:rPr>
        <w:t xml:space="preserve"> após analises dos dados defini-los</w:t>
      </w:r>
      <w:r w:rsidR="00455422">
        <w:rPr>
          <w:rFonts w:ascii="Times New Roman" w:eastAsiaTheme="minorEastAsia" w:hAnsi="Times New Roman" w:cs="Times New Roman"/>
          <w:b w:val="0"/>
          <w:color w:val="auto"/>
          <w:sz w:val="24"/>
          <w:szCs w:val="24"/>
        </w:rPr>
        <w:t>.</w:t>
      </w:r>
      <w:r w:rsidRPr="000E11FF">
        <w:rPr>
          <w:rFonts w:ascii="Times New Roman" w:eastAsiaTheme="minorEastAsia" w:hAnsi="Times New Roman" w:cs="Times New Roman"/>
          <w:b w:val="0"/>
          <w:color w:val="auto"/>
          <w:sz w:val="24"/>
          <w:szCs w:val="24"/>
        </w:rPr>
        <w:t xml:space="preserve"> O limiar de veto não foi utilizado.</w:t>
      </w:r>
    </w:p>
    <w:p w:rsidR="0034299C" w:rsidRPr="000E11FF" w:rsidRDefault="0034299C" w:rsidP="0034299C">
      <w:pPr>
        <w:rPr>
          <w:sz w:val="24"/>
          <w:szCs w:val="24"/>
        </w:rPr>
      </w:pPr>
    </w:p>
    <w:p w:rsidR="005E5A7D" w:rsidRPr="0034299C" w:rsidRDefault="005E5A7D" w:rsidP="005E5A7D">
      <w:pPr>
        <w:spacing w:line="360" w:lineRule="auto"/>
        <w:jc w:val="center"/>
        <w:rPr>
          <w:rFonts w:ascii="Times New Roman" w:eastAsiaTheme="minorEastAsia" w:hAnsi="Times New Roman" w:cs="Times New Roman"/>
        </w:rPr>
      </w:pPr>
      <w:r w:rsidRPr="0034299C">
        <w:rPr>
          <w:rFonts w:ascii="Times New Roman" w:eastAsiaTheme="minorEastAsia" w:hAnsi="Times New Roman" w:cs="Times New Roman"/>
        </w:rPr>
        <w:lastRenderedPageBreak/>
        <w:t xml:space="preserve">Tabela </w:t>
      </w:r>
      <w:r w:rsidR="0046311F" w:rsidRPr="0034299C">
        <w:rPr>
          <w:rFonts w:ascii="Times New Roman" w:eastAsiaTheme="minorEastAsia" w:hAnsi="Times New Roman" w:cs="Times New Roman"/>
        </w:rPr>
        <w:t>5</w:t>
      </w:r>
      <w:r w:rsidRPr="0034299C">
        <w:rPr>
          <w:rFonts w:ascii="Times New Roman" w:eastAsiaTheme="minorEastAsia" w:hAnsi="Times New Roman" w:cs="Times New Roman"/>
        </w:rPr>
        <w:t xml:space="preserve">-Limiares de indiferença </w:t>
      </w:r>
      <m:oMath>
        <m:r>
          <w:rPr>
            <w:rFonts w:ascii="Cambria Math" w:eastAsiaTheme="minorEastAsia" w:hAnsi="Cambria Math" w:cs="Times New Roman"/>
          </w:rPr>
          <m:t>(q)</m:t>
        </m:r>
      </m:oMath>
      <w:r w:rsidRPr="0034299C">
        <w:rPr>
          <w:rFonts w:ascii="Times New Roman" w:eastAsiaTheme="minorEastAsia" w:hAnsi="Times New Roman" w:cs="Times New Roman"/>
        </w:rPr>
        <w:t xml:space="preserve"> e preferência </w:t>
      </w:r>
      <m:oMath>
        <m:r>
          <w:rPr>
            <w:rFonts w:ascii="Cambria Math" w:eastAsiaTheme="minorEastAsia" w:hAnsi="Cambria Math" w:cs="Times New Roman"/>
          </w:rPr>
          <m:t>(p)</m:t>
        </m:r>
      </m:oMath>
      <w:r w:rsidRPr="0034299C">
        <w:rPr>
          <w:rFonts w:ascii="Times New Roman" w:eastAsiaTheme="minorEastAsia" w:hAnsi="Times New Roman" w:cs="Times New Roman"/>
        </w:rPr>
        <w:t>.</w:t>
      </w:r>
    </w:p>
    <w:tbl>
      <w:tblPr>
        <w:tblStyle w:val="SombreamentoClaro1"/>
        <w:tblW w:w="0" w:type="auto"/>
        <w:jc w:val="center"/>
        <w:tblLook w:val="04A0" w:firstRow="1" w:lastRow="0" w:firstColumn="1" w:lastColumn="0" w:noHBand="0" w:noVBand="1"/>
      </w:tblPr>
      <w:tblGrid>
        <w:gridCol w:w="1182"/>
        <w:gridCol w:w="1478"/>
        <w:gridCol w:w="1276"/>
        <w:gridCol w:w="240"/>
      </w:tblGrid>
      <w:tr w:rsidR="005E5A7D" w:rsidRPr="0034299C" w:rsidTr="00DA56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vMerge w:val="restart"/>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Critérios</w:t>
            </w:r>
          </w:p>
        </w:tc>
        <w:tc>
          <w:tcPr>
            <w:tcW w:w="2994" w:type="dxa"/>
            <w:gridSpan w:val="3"/>
            <w:shd w:val="clear" w:color="auto" w:fill="auto"/>
            <w:vAlign w:val="center"/>
          </w:tcPr>
          <w:p w:rsidR="005E5A7D" w:rsidRPr="0034299C" w:rsidRDefault="005E5A7D" w:rsidP="00DA564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Parâmetros</w:t>
            </w:r>
          </w:p>
        </w:tc>
      </w:tr>
      <w:tr w:rsidR="005E5A7D" w:rsidRPr="0034299C"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vMerge/>
            <w:shd w:val="clear" w:color="auto" w:fill="auto"/>
            <w:vAlign w:val="center"/>
          </w:tcPr>
          <w:p w:rsidR="005E5A7D" w:rsidRPr="0034299C" w:rsidRDefault="005E5A7D" w:rsidP="00DA5641">
            <w:pPr>
              <w:jc w:val="center"/>
              <w:rPr>
                <w:rFonts w:ascii="Times New Roman" w:eastAsiaTheme="minorEastAsia" w:hAnsi="Times New Roman" w:cs="Times New Roman"/>
              </w:rPr>
            </w:pPr>
          </w:p>
        </w:tc>
        <w:tc>
          <w:tcPr>
            <w:tcW w:w="1478" w:type="dxa"/>
            <w:shd w:val="clear" w:color="auto" w:fill="auto"/>
            <w:vAlign w:val="center"/>
          </w:tcPr>
          <w:p w:rsidR="005E5A7D" w:rsidRPr="0034299C" w:rsidRDefault="00267C50"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j</m:t>
                    </m:r>
                  </m:sub>
                </m:sSub>
              </m:oMath>
            </m:oMathPara>
          </w:p>
        </w:tc>
        <w:tc>
          <w:tcPr>
            <w:tcW w:w="1276" w:type="dxa"/>
            <w:shd w:val="clear" w:color="auto" w:fill="auto"/>
            <w:vAlign w:val="center"/>
          </w:tcPr>
          <w:p w:rsidR="005E5A7D" w:rsidRPr="0034299C" w:rsidRDefault="00267C50"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j</m:t>
                    </m:r>
                  </m:sub>
                </m:sSub>
              </m:oMath>
            </m:oMathPara>
          </w:p>
        </w:tc>
        <w:tc>
          <w:tcPr>
            <w:tcW w:w="240"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Cr1</w:t>
            </w:r>
          </w:p>
        </w:tc>
        <w:tc>
          <w:tcPr>
            <w:tcW w:w="1478"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1,34</w:t>
            </w:r>
          </w:p>
        </w:tc>
        <w:tc>
          <w:tcPr>
            <w:tcW w:w="1276"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2,69</w:t>
            </w:r>
          </w:p>
        </w:tc>
        <w:tc>
          <w:tcPr>
            <w:tcW w:w="240"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Cr2</w:t>
            </w:r>
          </w:p>
        </w:tc>
        <w:tc>
          <w:tcPr>
            <w:tcW w:w="1478"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1,15</w:t>
            </w:r>
          </w:p>
        </w:tc>
        <w:tc>
          <w:tcPr>
            <w:tcW w:w="1276"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2,30</w:t>
            </w:r>
          </w:p>
        </w:tc>
        <w:tc>
          <w:tcPr>
            <w:tcW w:w="240"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Cr3</w:t>
            </w:r>
          </w:p>
        </w:tc>
        <w:tc>
          <w:tcPr>
            <w:tcW w:w="1478"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0,07</w:t>
            </w:r>
          </w:p>
        </w:tc>
        <w:tc>
          <w:tcPr>
            <w:tcW w:w="1276"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0,14</w:t>
            </w:r>
          </w:p>
        </w:tc>
        <w:tc>
          <w:tcPr>
            <w:tcW w:w="240"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Cr4</w:t>
            </w:r>
          </w:p>
        </w:tc>
        <w:tc>
          <w:tcPr>
            <w:tcW w:w="1478"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0,02</w:t>
            </w:r>
          </w:p>
        </w:tc>
        <w:tc>
          <w:tcPr>
            <w:tcW w:w="1276"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0,05</w:t>
            </w:r>
          </w:p>
        </w:tc>
        <w:tc>
          <w:tcPr>
            <w:tcW w:w="240"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Cr5</w:t>
            </w:r>
          </w:p>
        </w:tc>
        <w:tc>
          <w:tcPr>
            <w:tcW w:w="1478"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0,02</w:t>
            </w:r>
          </w:p>
        </w:tc>
        <w:tc>
          <w:tcPr>
            <w:tcW w:w="1276"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0,04</w:t>
            </w:r>
          </w:p>
        </w:tc>
        <w:tc>
          <w:tcPr>
            <w:tcW w:w="240"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Cr6</w:t>
            </w:r>
          </w:p>
        </w:tc>
        <w:tc>
          <w:tcPr>
            <w:tcW w:w="1478"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0,014</w:t>
            </w:r>
          </w:p>
        </w:tc>
        <w:tc>
          <w:tcPr>
            <w:tcW w:w="1276"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0,03</w:t>
            </w:r>
          </w:p>
        </w:tc>
        <w:tc>
          <w:tcPr>
            <w:tcW w:w="240"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Cr7</w:t>
            </w:r>
          </w:p>
        </w:tc>
        <w:tc>
          <w:tcPr>
            <w:tcW w:w="1478"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0,014</w:t>
            </w:r>
          </w:p>
        </w:tc>
        <w:tc>
          <w:tcPr>
            <w:tcW w:w="1276"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0,03</w:t>
            </w:r>
          </w:p>
        </w:tc>
        <w:tc>
          <w:tcPr>
            <w:tcW w:w="240" w:type="dxa"/>
            <w:shd w:val="clear" w:color="auto" w:fill="auto"/>
            <w:vAlign w:val="center"/>
          </w:tcPr>
          <w:p w:rsidR="005E5A7D" w:rsidRPr="0034299C" w:rsidRDefault="005E5A7D" w:rsidP="00DA564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p>
        </w:tc>
      </w:tr>
      <w:tr w:rsidR="005E5A7D" w:rsidRPr="0034299C" w:rsidTr="00DA56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2" w:type="dxa"/>
            <w:shd w:val="clear" w:color="auto" w:fill="auto"/>
            <w:vAlign w:val="center"/>
          </w:tcPr>
          <w:p w:rsidR="005E5A7D" w:rsidRPr="0034299C" w:rsidRDefault="005E5A7D" w:rsidP="00DA5641">
            <w:pPr>
              <w:jc w:val="center"/>
              <w:rPr>
                <w:rFonts w:ascii="Times New Roman" w:eastAsiaTheme="minorEastAsia" w:hAnsi="Times New Roman" w:cs="Times New Roman"/>
              </w:rPr>
            </w:pPr>
            <w:r w:rsidRPr="0034299C">
              <w:rPr>
                <w:rFonts w:ascii="Times New Roman" w:eastAsiaTheme="minorEastAsia" w:hAnsi="Times New Roman" w:cs="Times New Roman"/>
              </w:rPr>
              <w:t>Cr8</w:t>
            </w:r>
          </w:p>
        </w:tc>
        <w:tc>
          <w:tcPr>
            <w:tcW w:w="1478"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0,014</w:t>
            </w:r>
          </w:p>
        </w:tc>
        <w:tc>
          <w:tcPr>
            <w:tcW w:w="1276"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sidRPr="0034299C">
              <w:rPr>
                <w:rFonts w:ascii="Times New Roman" w:eastAsiaTheme="minorEastAsia" w:hAnsi="Times New Roman" w:cs="Times New Roman"/>
              </w:rPr>
              <w:t>0,03</w:t>
            </w:r>
          </w:p>
        </w:tc>
        <w:tc>
          <w:tcPr>
            <w:tcW w:w="240" w:type="dxa"/>
            <w:shd w:val="clear" w:color="auto" w:fill="auto"/>
            <w:vAlign w:val="center"/>
          </w:tcPr>
          <w:p w:rsidR="005E5A7D" w:rsidRPr="0034299C" w:rsidRDefault="005E5A7D" w:rsidP="00DA5641">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tc>
      </w:tr>
    </w:tbl>
    <w:p w:rsidR="005E5A7D" w:rsidRDefault="005E5A7D" w:rsidP="005E5A7D">
      <w:pPr>
        <w:spacing w:line="240" w:lineRule="auto"/>
        <w:ind w:firstLine="708"/>
        <w:jc w:val="both"/>
        <w:rPr>
          <w:rFonts w:ascii="Times New Roman" w:eastAsiaTheme="minorEastAsia" w:hAnsi="Times New Roman" w:cs="Times New Roman"/>
          <w:sz w:val="24"/>
          <w:szCs w:val="24"/>
        </w:rPr>
      </w:pPr>
    </w:p>
    <w:p w:rsidR="005E5A7D" w:rsidRDefault="005E5A7D" w:rsidP="005E5A7D">
      <w:pPr>
        <w:spacing w:line="240" w:lineRule="auto"/>
        <w:ind w:firstLine="708"/>
        <w:jc w:val="both"/>
        <w:rPr>
          <w:rFonts w:ascii="Times New Roman" w:eastAsiaTheme="minorEastAsia" w:hAnsi="Times New Roman" w:cs="Times New Roman"/>
          <w:sz w:val="24"/>
          <w:szCs w:val="24"/>
        </w:rPr>
      </w:pPr>
      <w:r w:rsidRPr="00531739">
        <w:rPr>
          <w:rFonts w:ascii="Times New Roman" w:eastAsiaTheme="minorEastAsia" w:hAnsi="Times New Roman" w:cs="Times New Roman"/>
          <w:sz w:val="24"/>
          <w:szCs w:val="24"/>
        </w:rPr>
        <w:t xml:space="preserve">É preciso então definir o nível de credibilidade </w:t>
      </w:r>
      <m:oMath>
        <m:r>
          <w:rPr>
            <w:rFonts w:ascii="Cambria Math" w:eastAsiaTheme="minorEastAsia" w:hAnsi="Cambria Math" w:cs="Times New Roman"/>
            <w:sz w:val="24"/>
            <w:szCs w:val="24"/>
          </w:rPr>
          <m:t>(λ)</m:t>
        </m:r>
      </m:oMath>
      <w:r w:rsidRPr="00531739">
        <w:rPr>
          <w:rFonts w:ascii="Times New Roman" w:eastAsiaTheme="minorEastAsia" w:hAnsi="Times New Roman" w:cs="Times New Roman"/>
          <w:sz w:val="24"/>
          <w:szCs w:val="24"/>
        </w:rPr>
        <w:t xml:space="preserve"> que vai representar o menor valor de </w:t>
      </w:r>
      <m:oMath>
        <m:r>
          <w:rPr>
            <w:rFonts w:ascii="Cambria Math" w:eastAsiaTheme="minorEastAsia" w:hAnsi="Cambria Math" w:cs="Times New Roman"/>
            <w:sz w:val="24"/>
            <w:szCs w:val="24"/>
          </w:rPr>
          <m:t>σ(a,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531739">
        <w:rPr>
          <w:rFonts w:ascii="Times New Roman" w:eastAsiaTheme="minorEastAsia" w:hAnsi="Times New Roman" w:cs="Times New Roman"/>
          <w:sz w:val="24"/>
          <w:szCs w:val="24"/>
        </w:rPr>
        <w:t xml:space="preserve"> para dizer que são verdadeiras as relações de sobreclassificação. Geralmente o valor de </w:t>
      </w:r>
      <m:oMath>
        <m:r>
          <w:rPr>
            <w:rFonts w:ascii="Cambria Math" w:eastAsiaTheme="minorEastAsia" w:hAnsi="Cambria Math" w:cs="Times New Roman"/>
            <w:sz w:val="24"/>
            <w:szCs w:val="24"/>
          </w:rPr>
          <m:t>λ</m:t>
        </m:r>
      </m:oMath>
      <w:r w:rsidRPr="00531739">
        <w:rPr>
          <w:rFonts w:ascii="Times New Roman" w:eastAsiaTheme="minorEastAsia" w:hAnsi="Times New Roman" w:cs="Times New Roman"/>
          <w:sz w:val="24"/>
          <w:szCs w:val="24"/>
        </w:rPr>
        <w:t xml:space="preserve"> está no intervalo de [0,5; </w:t>
      </w:r>
      <w:proofErr w:type="gramStart"/>
      <w:r w:rsidRPr="00531739">
        <w:rPr>
          <w:rFonts w:ascii="Times New Roman" w:eastAsiaTheme="minorEastAsia" w:hAnsi="Times New Roman" w:cs="Times New Roman"/>
          <w:sz w:val="24"/>
          <w:szCs w:val="24"/>
        </w:rPr>
        <w:t>1</w:t>
      </w:r>
      <w:proofErr w:type="gramEnd"/>
      <w:r w:rsidRPr="00531739">
        <w:rPr>
          <w:rFonts w:ascii="Times New Roman" w:eastAsiaTheme="minorEastAsia" w:hAnsi="Times New Roman" w:cs="Times New Roman"/>
          <w:sz w:val="24"/>
          <w:szCs w:val="24"/>
        </w:rPr>
        <w:t>]. Para este trabalho o nível considerado foi de 0,7.</w:t>
      </w:r>
    </w:p>
    <w:p w:rsidR="005E5A7D" w:rsidRDefault="0009412E" w:rsidP="005E5A7D">
      <w:pPr>
        <w:spacing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Uma analise de sensibilidade também é feita no</w:t>
      </w:r>
      <w:r w:rsidR="005E5A7D" w:rsidRPr="008C6CA2">
        <w:rPr>
          <w:rFonts w:ascii="Times New Roman" w:eastAsiaTheme="minorEastAsia" w:hAnsi="Times New Roman" w:cs="Times New Roman"/>
          <w:sz w:val="24"/>
          <w:szCs w:val="24"/>
        </w:rPr>
        <w:t xml:space="preserve"> nível de credibilidade </w:t>
      </w:r>
      <m:oMath>
        <m:r>
          <w:rPr>
            <w:rFonts w:ascii="Cambria Math" w:eastAsiaTheme="minorEastAsia" w:hAnsi="Cambria Math" w:cs="Times New Roman"/>
            <w:sz w:val="24"/>
            <w:szCs w:val="24"/>
          </w:rPr>
          <m:t>(λ)</m:t>
        </m:r>
      </m:oMath>
      <w:r w:rsidR="0046311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 n</w:t>
      </w:r>
      <w:r w:rsidR="005E5A7D" w:rsidRPr="008C6CA2">
        <w:rPr>
          <w:rFonts w:ascii="Times New Roman" w:eastAsiaTheme="minorEastAsia" w:hAnsi="Times New Roman" w:cs="Times New Roman"/>
          <w:sz w:val="24"/>
          <w:szCs w:val="24"/>
        </w:rPr>
        <w:t xml:space="preserve">os parâmetros de indiferença </w:t>
      </w:r>
      <m:oMath>
        <m:r>
          <w:rPr>
            <w:rFonts w:ascii="Cambria Math" w:eastAsiaTheme="minorEastAsia" w:hAnsi="Cambria Math" w:cs="Times New Roman"/>
            <w:sz w:val="24"/>
            <w:szCs w:val="24"/>
          </w:rPr>
          <m:t>(q)</m:t>
        </m:r>
      </m:oMath>
      <w:r w:rsidR="005E5A7D" w:rsidRPr="008C6CA2">
        <w:rPr>
          <w:rFonts w:ascii="Times New Roman" w:eastAsiaTheme="minorEastAsia" w:hAnsi="Times New Roman" w:cs="Times New Roman"/>
          <w:sz w:val="24"/>
          <w:szCs w:val="24"/>
        </w:rPr>
        <w:t xml:space="preserve"> e </w:t>
      </w:r>
      <w:r w:rsidR="0046311F">
        <w:rPr>
          <w:rFonts w:ascii="Times New Roman" w:eastAsiaTheme="minorEastAsia" w:hAnsi="Times New Roman" w:cs="Times New Roman"/>
          <w:sz w:val="24"/>
          <w:szCs w:val="24"/>
        </w:rPr>
        <w:t xml:space="preserve">preferência </w:t>
      </w:r>
      <m:oMath>
        <m:r>
          <w:rPr>
            <w:rFonts w:ascii="Cambria Math" w:eastAsiaTheme="minorEastAsia" w:hAnsi="Cambria Math" w:cs="Times New Roman"/>
            <w:sz w:val="24"/>
            <w:szCs w:val="24"/>
          </w:rPr>
          <m:t>(p)</m:t>
        </m:r>
      </m:oMath>
      <w:r w:rsidR="005E5A7D">
        <w:rPr>
          <w:rFonts w:ascii="Times New Roman" w:eastAsiaTheme="minorEastAsia" w:hAnsi="Times New Roman" w:cs="Times New Roman"/>
          <w:sz w:val="24"/>
          <w:szCs w:val="24"/>
        </w:rPr>
        <w:t xml:space="preserve"> do modelo proposto</w:t>
      </w:r>
      <w:r w:rsidR="005E5A7D" w:rsidRPr="008C6CA2">
        <w:rPr>
          <w:rFonts w:ascii="Times New Roman" w:eastAsiaTheme="minorEastAsia" w:hAnsi="Times New Roman" w:cs="Times New Roman"/>
          <w:sz w:val="24"/>
          <w:szCs w:val="24"/>
        </w:rPr>
        <w:t>.</w:t>
      </w:r>
    </w:p>
    <w:p w:rsidR="008E37CE" w:rsidRDefault="008E37CE" w:rsidP="008E37CE">
      <w:pPr>
        <w:spacing w:line="240" w:lineRule="auto"/>
        <w:jc w:val="both"/>
        <w:rPr>
          <w:rFonts w:ascii="Times New Roman" w:eastAsiaTheme="minorEastAsia" w:hAnsi="Times New Roman" w:cs="Times New Roman"/>
          <w:b/>
          <w:sz w:val="24"/>
          <w:szCs w:val="24"/>
        </w:rPr>
      </w:pPr>
    </w:p>
    <w:p w:rsidR="008E37CE" w:rsidRDefault="008E37CE" w:rsidP="008E37CE">
      <w:pPr>
        <w:spacing w:line="240" w:lineRule="auto"/>
        <w:jc w:val="both"/>
        <w:rPr>
          <w:rFonts w:ascii="Times New Roman" w:eastAsiaTheme="minorEastAsia" w:hAnsi="Times New Roman" w:cs="Times New Roman"/>
          <w:b/>
          <w:sz w:val="24"/>
          <w:szCs w:val="24"/>
        </w:rPr>
      </w:pPr>
      <w:r w:rsidRPr="008E37CE">
        <w:rPr>
          <w:rFonts w:ascii="Times New Roman" w:eastAsiaTheme="minorEastAsia" w:hAnsi="Times New Roman" w:cs="Times New Roman"/>
          <w:b/>
          <w:sz w:val="24"/>
          <w:szCs w:val="24"/>
        </w:rPr>
        <w:t>6. Resultados</w:t>
      </w:r>
      <w:r w:rsidR="0009412E">
        <w:rPr>
          <w:rFonts w:ascii="Times New Roman" w:eastAsiaTheme="minorEastAsia" w:hAnsi="Times New Roman" w:cs="Times New Roman"/>
          <w:b/>
          <w:sz w:val="24"/>
          <w:szCs w:val="24"/>
        </w:rPr>
        <w:t xml:space="preserve"> do ELECTRE TRI-C na avaliação dos cursos de Licenciatura em Matemática</w:t>
      </w:r>
    </w:p>
    <w:p w:rsidR="008E37CE" w:rsidRDefault="008E37CE" w:rsidP="008E37CE">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 este trabalho, a visão pessimista do ELECTRE TRI-C foi </w:t>
      </w:r>
      <w:proofErr w:type="gramStart"/>
      <w:r w:rsidRPr="001203DA">
        <w:rPr>
          <w:rFonts w:ascii="Times New Roman" w:eastAsiaTheme="minorEastAsia" w:hAnsi="Times New Roman" w:cs="Times New Roman"/>
          <w:sz w:val="24"/>
          <w:szCs w:val="24"/>
        </w:rPr>
        <w:t>a</w:t>
      </w:r>
      <w:proofErr w:type="gramEnd"/>
      <w:r w:rsidRPr="001203DA">
        <w:rPr>
          <w:rFonts w:ascii="Times New Roman" w:eastAsiaTheme="minorEastAsia" w:hAnsi="Times New Roman" w:cs="Times New Roman"/>
          <w:sz w:val="24"/>
          <w:szCs w:val="24"/>
        </w:rPr>
        <w:t xml:space="preserve"> adotada </w:t>
      </w:r>
      <w:r>
        <w:rPr>
          <w:rFonts w:ascii="Times New Roman" w:eastAsiaTheme="minorEastAsia" w:hAnsi="Times New Roman" w:cs="Times New Roman"/>
          <w:sz w:val="24"/>
          <w:szCs w:val="24"/>
        </w:rPr>
        <w:t>tendo em vista a importância da avaliação da qualidade dos cursos de graduação</w:t>
      </w:r>
      <w:r w:rsidRPr="001203DA">
        <w:rPr>
          <w:rFonts w:ascii="Times New Roman" w:eastAsiaTheme="minorEastAsia" w:hAnsi="Times New Roman" w:cs="Times New Roman"/>
          <w:sz w:val="24"/>
          <w:szCs w:val="24"/>
        </w:rPr>
        <w:t>. Com a aplicação do método</w:t>
      </w:r>
      <w:r>
        <w:rPr>
          <w:rFonts w:ascii="Times New Roman" w:eastAsiaTheme="minorEastAsia" w:hAnsi="Times New Roman" w:cs="Times New Roman"/>
          <w:sz w:val="24"/>
          <w:szCs w:val="24"/>
        </w:rPr>
        <w:t xml:space="preserve"> ELECTRE TRI-C</w:t>
      </w:r>
      <w:r w:rsidRPr="001203DA">
        <w:rPr>
          <w:rFonts w:ascii="Times New Roman" w:eastAsiaTheme="minorEastAsia" w:hAnsi="Times New Roman" w:cs="Times New Roman"/>
          <w:sz w:val="24"/>
          <w:szCs w:val="24"/>
        </w:rPr>
        <w:t xml:space="preserve"> houve alteração de classificação em 1</w:t>
      </w:r>
      <w:r>
        <w:rPr>
          <w:rFonts w:ascii="Times New Roman" w:eastAsiaTheme="minorEastAsia" w:hAnsi="Times New Roman" w:cs="Times New Roman"/>
          <w:sz w:val="24"/>
          <w:szCs w:val="24"/>
        </w:rPr>
        <w:t>38</w:t>
      </w:r>
      <w:r w:rsidRPr="001203DA">
        <w:rPr>
          <w:rFonts w:ascii="Times New Roman" w:eastAsiaTheme="minorEastAsia" w:hAnsi="Times New Roman" w:cs="Times New Roman"/>
          <w:sz w:val="24"/>
          <w:szCs w:val="24"/>
        </w:rPr>
        <w:t xml:space="preserve"> cursos de graduação quando comparado com o CPC, o que representa 5</w:t>
      </w:r>
      <w:r>
        <w:rPr>
          <w:rFonts w:ascii="Times New Roman" w:eastAsiaTheme="minorEastAsia" w:hAnsi="Times New Roman" w:cs="Times New Roman"/>
          <w:sz w:val="24"/>
          <w:szCs w:val="24"/>
        </w:rPr>
        <w:t>1,88</w:t>
      </w:r>
      <w:r w:rsidRPr="001203DA">
        <w:rPr>
          <w:rFonts w:ascii="Times New Roman" w:eastAsiaTheme="minorEastAsia" w:hAnsi="Times New Roman" w:cs="Times New Roman"/>
          <w:sz w:val="24"/>
          <w:szCs w:val="24"/>
        </w:rPr>
        <w:t xml:space="preserve">% dos cursos.  </w:t>
      </w:r>
      <w:r w:rsidR="002B2CBB">
        <w:rPr>
          <w:rFonts w:ascii="Times New Roman" w:eastAsiaTheme="minorEastAsia" w:hAnsi="Times New Roman" w:cs="Times New Roman"/>
          <w:sz w:val="24"/>
          <w:szCs w:val="24"/>
        </w:rPr>
        <w:t xml:space="preserve">A tabela </w:t>
      </w:r>
      <w:r w:rsidR="0046311F">
        <w:rPr>
          <w:rFonts w:ascii="Times New Roman" w:eastAsiaTheme="minorEastAsia" w:hAnsi="Times New Roman" w:cs="Times New Roman"/>
          <w:sz w:val="24"/>
          <w:szCs w:val="24"/>
        </w:rPr>
        <w:t>6</w:t>
      </w:r>
      <w:r w:rsidR="002B2CBB">
        <w:rPr>
          <w:rFonts w:ascii="Times New Roman" w:eastAsiaTheme="minorEastAsia" w:hAnsi="Times New Roman" w:cs="Times New Roman"/>
          <w:sz w:val="24"/>
          <w:szCs w:val="24"/>
        </w:rPr>
        <w:t xml:space="preserve"> mostra a distribuição dos cursos em cada categoria após a aplicação do ELECTRE TRI-C e sua comparação com os resultados do CPC.</w:t>
      </w:r>
    </w:p>
    <w:p w:rsidR="008E37CE" w:rsidRPr="008E37CE" w:rsidRDefault="008E37CE" w:rsidP="008E37CE">
      <w:pPr>
        <w:pStyle w:val="Legenda"/>
        <w:jc w:val="center"/>
        <w:rPr>
          <w:rFonts w:ascii="Times New Roman" w:hAnsi="Times New Roman" w:cs="Times New Roman"/>
          <w:b w:val="0"/>
          <w:color w:val="auto"/>
          <w:sz w:val="22"/>
          <w:szCs w:val="22"/>
        </w:rPr>
      </w:pPr>
      <w:bookmarkStart w:id="13" w:name="_Toc428261752"/>
      <w:r w:rsidRPr="008E37CE">
        <w:rPr>
          <w:rFonts w:ascii="Times New Roman" w:hAnsi="Times New Roman" w:cs="Times New Roman"/>
          <w:b w:val="0"/>
          <w:color w:val="auto"/>
          <w:sz w:val="22"/>
          <w:szCs w:val="22"/>
        </w:rPr>
        <w:t xml:space="preserve">Tabela </w:t>
      </w:r>
      <w:r w:rsidR="0046311F">
        <w:rPr>
          <w:rFonts w:ascii="Times New Roman" w:hAnsi="Times New Roman" w:cs="Times New Roman"/>
          <w:b w:val="0"/>
          <w:color w:val="auto"/>
          <w:sz w:val="22"/>
          <w:szCs w:val="22"/>
        </w:rPr>
        <w:t>6</w:t>
      </w:r>
      <w:r w:rsidRPr="008E37CE">
        <w:rPr>
          <w:rFonts w:ascii="Times New Roman" w:hAnsi="Times New Roman" w:cs="Times New Roman"/>
          <w:b w:val="0"/>
          <w:color w:val="auto"/>
          <w:sz w:val="22"/>
          <w:szCs w:val="22"/>
        </w:rPr>
        <w:t xml:space="preserve">-Distribuição dos cursos de Licenciatura nas categorias de acordo com </w:t>
      </w:r>
      <w:r w:rsidR="00AE5323">
        <w:rPr>
          <w:rFonts w:ascii="Times New Roman" w:hAnsi="Times New Roman" w:cs="Times New Roman"/>
          <w:b w:val="0"/>
          <w:color w:val="auto"/>
          <w:sz w:val="22"/>
          <w:szCs w:val="22"/>
        </w:rPr>
        <w:t>o ELECTRE TRI-C</w:t>
      </w:r>
      <w:r w:rsidRPr="008E37CE">
        <w:rPr>
          <w:rFonts w:ascii="Times New Roman" w:hAnsi="Times New Roman" w:cs="Times New Roman"/>
          <w:b w:val="0"/>
          <w:color w:val="auto"/>
          <w:sz w:val="22"/>
          <w:szCs w:val="22"/>
        </w:rPr>
        <w:t xml:space="preserve"> e o CPC.</w:t>
      </w:r>
      <w:bookmarkEnd w:id="13"/>
    </w:p>
    <w:tbl>
      <w:tblPr>
        <w:tblStyle w:val="SombreamentoClaro1"/>
        <w:tblW w:w="4379" w:type="dxa"/>
        <w:jc w:val="center"/>
        <w:tblLook w:val="04A0" w:firstRow="1" w:lastRow="0" w:firstColumn="1" w:lastColumn="0" w:noHBand="0" w:noVBand="1"/>
      </w:tblPr>
      <w:tblGrid>
        <w:gridCol w:w="1276"/>
        <w:gridCol w:w="2049"/>
        <w:gridCol w:w="1054"/>
      </w:tblGrid>
      <w:tr w:rsidR="008E37CE" w:rsidRPr="008E37CE" w:rsidTr="00A079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Categoria</w:t>
            </w:r>
          </w:p>
        </w:tc>
        <w:tc>
          <w:tcPr>
            <w:tcW w:w="2049" w:type="dxa"/>
            <w:shd w:val="clear" w:color="auto" w:fill="auto"/>
            <w:noWrap/>
          </w:tcPr>
          <w:p w:rsidR="008E37CE" w:rsidRPr="008E37CE" w:rsidRDefault="008E37CE" w:rsidP="00A0793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ELECTRE TRI-C</w:t>
            </w:r>
          </w:p>
        </w:tc>
        <w:tc>
          <w:tcPr>
            <w:tcW w:w="1054" w:type="dxa"/>
            <w:shd w:val="clear" w:color="auto" w:fill="auto"/>
          </w:tcPr>
          <w:p w:rsidR="008E37CE" w:rsidRPr="008E37CE" w:rsidRDefault="008E37CE" w:rsidP="00A0793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CPC</w:t>
            </w:r>
          </w:p>
        </w:tc>
      </w:tr>
      <w:tr w:rsidR="008E37CE" w:rsidRPr="008E37CE" w:rsidTr="00A07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C1</w:t>
            </w:r>
          </w:p>
        </w:tc>
        <w:tc>
          <w:tcPr>
            <w:tcW w:w="2049" w:type="dxa"/>
            <w:shd w:val="clear" w:color="auto" w:fill="auto"/>
            <w:noWrap/>
          </w:tcPr>
          <w:p w:rsidR="008E37CE" w:rsidRPr="008E37CE" w:rsidRDefault="00CE2760"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32</w:t>
            </w:r>
          </w:p>
        </w:tc>
        <w:tc>
          <w:tcPr>
            <w:tcW w:w="1054" w:type="dxa"/>
            <w:shd w:val="clear" w:color="auto" w:fill="auto"/>
          </w:tcPr>
          <w:p w:rsidR="008E37CE" w:rsidRPr="008E37CE" w:rsidRDefault="008E37CE"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8E37CE">
              <w:rPr>
                <w:rFonts w:ascii="Times New Roman" w:eastAsia="Times New Roman" w:hAnsi="Times New Roman" w:cs="Times New Roman"/>
                <w:color w:val="000000"/>
                <w:lang w:eastAsia="pt-BR"/>
              </w:rPr>
              <w:t>0</w:t>
            </w:r>
            <w:proofErr w:type="gramEnd"/>
          </w:p>
        </w:tc>
      </w:tr>
      <w:tr w:rsidR="008E37CE" w:rsidRPr="008E37CE" w:rsidTr="00A07937">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C2</w:t>
            </w:r>
          </w:p>
        </w:tc>
        <w:tc>
          <w:tcPr>
            <w:tcW w:w="2049" w:type="dxa"/>
            <w:shd w:val="clear" w:color="auto" w:fill="auto"/>
            <w:noWrap/>
          </w:tcPr>
          <w:p w:rsidR="008E37CE" w:rsidRPr="008E37CE" w:rsidRDefault="00CE2760"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90</w:t>
            </w:r>
          </w:p>
        </w:tc>
        <w:tc>
          <w:tcPr>
            <w:tcW w:w="1054" w:type="dxa"/>
            <w:shd w:val="clear" w:color="auto" w:fill="auto"/>
          </w:tcPr>
          <w:p w:rsidR="008E37CE" w:rsidRPr="008E37CE" w:rsidRDefault="008E37CE"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42</w:t>
            </w:r>
          </w:p>
        </w:tc>
      </w:tr>
      <w:tr w:rsidR="008E37CE" w:rsidRPr="008E37CE" w:rsidTr="00A07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C3</w:t>
            </w:r>
          </w:p>
        </w:tc>
        <w:tc>
          <w:tcPr>
            <w:tcW w:w="2049" w:type="dxa"/>
            <w:shd w:val="clear" w:color="auto" w:fill="auto"/>
            <w:noWrap/>
          </w:tcPr>
          <w:p w:rsidR="008E37CE" w:rsidRPr="008E37CE" w:rsidRDefault="00CE2760"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92</w:t>
            </w:r>
          </w:p>
        </w:tc>
        <w:tc>
          <w:tcPr>
            <w:tcW w:w="1054" w:type="dxa"/>
            <w:shd w:val="clear" w:color="auto" w:fill="auto"/>
          </w:tcPr>
          <w:p w:rsidR="008E37CE" w:rsidRPr="008E37CE" w:rsidRDefault="008E37CE"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133</w:t>
            </w:r>
          </w:p>
        </w:tc>
      </w:tr>
      <w:tr w:rsidR="008E37CE" w:rsidRPr="008E37CE" w:rsidTr="00A07937">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C4</w:t>
            </w:r>
          </w:p>
        </w:tc>
        <w:tc>
          <w:tcPr>
            <w:tcW w:w="2049" w:type="dxa"/>
            <w:shd w:val="clear" w:color="auto" w:fill="auto"/>
            <w:noWrap/>
          </w:tcPr>
          <w:p w:rsidR="008E37CE" w:rsidRPr="008E37CE" w:rsidRDefault="00CE2760"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43</w:t>
            </w:r>
          </w:p>
        </w:tc>
        <w:tc>
          <w:tcPr>
            <w:tcW w:w="1054" w:type="dxa"/>
            <w:shd w:val="clear" w:color="auto" w:fill="auto"/>
          </w:tcPr>
          <w:p w:rsidR="008E37CE" w:rsidRPr="008E37CE" w:rsidRDefault="008E37CE" w:rsidP="00A0793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81</w:t>
            </w:r>
          </w:p>
        </w:tc>
      </w:tr>
      <w:tr w:rsidR="008E37CE" w:rsidRPr="008E37CE" w:rsidTr="00A07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rsidR="008E37CE" w:rsidRPr="008E37CE" w:rsidRDefault="008E37CE" w:rsidP="00A07937">
            <w:pPr>
              <w:jc w:val="center"/>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C5</w:t>
            </w:r>
          </w:p>
        </w:tc>
        <w:tc>
          <w:tcPr>
            <w:tcW w:w="2049" w:type="dxa"/>
            <w:shd w:val="clear" w:color="auto" w:fill="auto"/>
            <w:noWrap/>
          </w:tcPr>
          <w:p w:rsidR="008E37CE" w:rsidRPr="008E37CE" w:rsidRDefault="00CE2760"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9</w:t>
            </w:r>
            <w:proofErr w:type="gramEnd"/>
          </w:p>
        </w:tc>
        <w:tc>
          <w:tcPr>
            <w:tcW w:w="1054" w:type="dxa"/>
            <w:shd w:val="clear" w:color="auto" w:fill="auto"/>
          </w:tcPr>
          <w:p w:rsidR="008E37CE" w:rsidRPr="008E37CE" w:rsidRDefault="008E37CE" w:rsidP="00A079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8E37CE">
              <w:rPr>
                <w:rFonts w:ascii="Times New Roman" w:eastAsia="Times New Roman" w:hAnsi="Times New Roman" w:cs="Times New Roman"/>
                <w:color w:val="000000"/>
                <w:lang w:eastAsia="pt-BR"/>
              </w:rPr>
              <w:t>10</w:t>
            </w:r>
          </w:p>
        </w:tc>
      </w:tr>
    </w:tbl>
    <w:p w:rsidR="008E37CE" w:rsidRDefault="008E37CE" w:rsidP="00D0221D">
      <w:pPr>
        <w:spacing w:line="360" w:lineRule="auto"/>
        <w:jc w:val="both"/>
        <w:rPr>
          <w:rFonts w:ascii="Times New Roman" w:eastAsiaTheme="minorEastAsia" w:hAnsi="Times New Roman" w:cs="Times New Roman"/>
          <w:b/>
          <w:sz w:val="24"/>
          <w:szCs w:val="24"/>
        </w:rPr>
      </w:pPr>
    </w:p>
    <w:p w:rsidR="00AE5323" w:rsidRDefault="000D5EE5" w:rsidP="00D0221D">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Observa-se uma significativa alteração nos resultados quando comparados o ELECTRE TRI-C e o CPC. </w:t>
      </w:r>
      <w:r w:rsidR="00AE5323" w:rsidRPr="00AE5323">
        <w:rPr>
          <w:rFonts w:ascii="Times New Roman" w:eastAsiaTheme="minorEastAsia" w:hAnsi="Times New Roman" w:cs="Times New Roman"/>
          <w:sz w:val="24"/>
          <w:szCs w:val="24"/>
        </w:rPr>
        <w:t xml:space="preserve">A figura </w:t>
      </w:r>
      <w:r w:rsidR="00570C55">
        <w:rPr>
          <w:rFonts w:ascii="Times New Roman" w:eastAsiaTheme="minorEastAsia" w:hAnsi="Times New Roman" w:cs="Times New Roman"/>
          <w:sz w:val="24"/>
          <w:szCs w:val="24"/>
        </w:rPr>
        <w:t>3</w:t>
      </w:r>
      <w:r w:rsidR="00AE5323">
        <w:rPr>
          <w:rFonts w:ascii="Times New Roman" w:eastAsiaTheme="minorEastAsia" w:hAnsi="Times New Roman" w:cs="Times New Roman"/>
          <w:sz w:val="24"/>
          <w:szCs w:val="24"/>
        </w:rPr>
        <w:t xml:space="preserve"> mostra em porcentagem a quantidade de cursos em cada categoria no ELECTRE TRI-C e no CPC.</w:t>
      </w:r>
    </w:p>
    <w:p w:rsidR="005E5A7D" w:rsidRDefault="002B2CBB" w:rsidP="001F2EE7">
      <w:pPr>
        <w:spacing w:line="240" w:lineRule="auto"/>
        <w:jc w:val="center"/>
        <w:rPr>
          <w:rFonts w:ascii="Times New Roman" w:hAnsi="Times New Roman" w:cs="Times New Roman"/>
          <w:sz w:val="24"/>
          <w:szCs w:val="24"/>
        </w:rPr>
      </w:pPr>
      <w:r>
        <w:rPr>
          <w:noProof/>
          <w:lang w:eastAsia="pt-BR"/>
        </w:rPr>
        <w:drawing>
          <wp:inline distT="0" distB="0" distL="0" distR="0" wp14:anchorId="4FDCD05E" wp14:editId="6532751F">
            <wp:extent cx="4744528" cy="3976777"/>
            <wp:effectExtent l="0" t="0" r="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311F" w:rsidRPr="0034299C" w:rsidRDefault="0046311F" w:rsidP="001F2EE7">
      <w:pPr>
        <w:spacing w:line="240" w:lineRule="auto"/>
        <w:jc w:val="center"/>
        <w:rPr>
          <w:rFonts w:ascii="Times New Roman" w:hAnsi="Times New Roman" w:cs="Times New Roman"/>
        </w:rPr>
      </w:pPr>
      <w:r w:rsidRPr="0034299C">
        <w:rPr>
          <w:rFonts w:ascii="Times New Roman" w:hAnsi="Times New Roman" w:cs="Times New Roman"/>
        </w:rPr>
        <w:t>Figura</w:t>
      </w:r>
      <w:r w:rsidR="00570C55" w:rsidRPr="0034299C">
        <w:rPr>
          <w:rFonts w:ascii="Times New Roman" w:hAnsi="Times New Roman" w:cs="Times New Roman"/>
        </w:rPr>
        <w:t xml:space="preserve"> 3</w:t>
      </w:r>
      <w:r w:rsidRPr="0034299C">
        <w:rPr>
          <w:rFonts w:ascii="Times New Roman" w:hAnsi="Times New Roman" w:cs="Times New Roman"/>
        </w:rPr>
        <w:t>-</w:t>
      </w:r>
      <w:r w:rsidR="00570C55" w:rsidRPr="0034299C">
        <w:rPr>
          <w:rFonts w:ascii="Times New Roman" w:hAnsi="Times New Roman" w:cs="Times New Roman"/>
        </w:rPr>
        <w:t xml:space="preserve"> Porcentagem de cursos em cada categoria de acordo com o ELECTRE TRI-C e o CPC.</w:t>
      </w:r>
    </w:p>
    <w:p w:rsidR="00A1682C" w:rsidRDefault="00A1682C" w:rsidP="00707C77">
      <w:pPr>
        <w:spacing w:line="360" w:lineRule="auto"/>
        <w:ind w:firstLine="708"/>
        <w:jc w:val="both"/>
        <w:rPr>
          <w:rFonts w:ascii="Times New Roman" w:hAnsi="Times New Roman" w:cs="Times New Roman"/>
          <w:sz w:val="24"/>
          <w:szCs w:val="24"/>
        </w:rPr>
      </w:pPr>
    </w:p>
    <w:p w:rsidR="0028319D" w:rsidRDefault="0028319D" w:rsidP="00707C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CPC nenhum curso obteve conceito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enquanto que no </w:t>
      </w:r>
      <w:r w:rsidR="00570C55">
        <w:rPr>
          <w:rFonts w:ascii="Times New Roman" w:hAnsi="Times New Roman" w:cs="Times New Roman"/>
          <w:sz w:val="24"/>
          <w:szCs w:val="24"/>
        </w:rPr>
        <w:t>ELECTRE TRI-C</w:t>
      </w:r>
      <w:r>
        <w:rPr>
          <w:rFonts w:ascii="Times New Roman" w:hAnsi="Times New Roman" w:cs="Times New Roman"/>
          <w:sz w:val="24"/>
          <w:szCs w:val="24"/>
        </w:rPr>
        <w:t xml:space="preserve"> 12% dos cursos aproximadamente estão alocados em C1 categoria correspondente </w:t>
      </w:r>
      <w:r w:rsidR="00570C55">
        <w:rPr>
          <w:rFonts w:ascii="Times New Roman" w:hAnsi="Times New Roman" w:cs="Times New Roman"/>
          <w:sz w:val="24"/>
          <w:szCs w:val="24"/>
        </w:rPr>
        <w:t>ao conceito 1</w:t>
      </w:r>
      <w:r>
        <w:rPr>
          <w:rFonts w:ascii="Times New Roman" w:hAnsi="Times New Roman" w:cs="Times New Roman"/>
          <w:sz w:val="24"/>
          <w:szCs w:val="24"/>
        </w:rPr>
        <w:t xml:space="preserve">. Já 15,79% dos cursos obtiveram conceito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 acordo com a metodologia do CPC, enquanto que pelo ELECTRE TRI-C, 33,83% dos cursos foram alocado sem C2 categoria que corresponde a cursos com desempenho ruim. Observa-se então um aumento na quantidade de cursos nas categorias inferiores quando compara</w:t>
      </w:r>
      <w:r w:rsidR="00163AA6">
        <w:rPr>
          <w:rFonts w:ascii="Times New Roman" w:hAnsi="Times New Roman" w:cs="Times New Roman"/>
          <w:sz w:val="24"/>
          <w:szCs w:val="24"/>
        </w:rPr>
        <w:t>das</w:t>
      </w:r>
      <w:r>
        <w:rPr>
          <w:rFonts w:ascii="Times New Roman" w:hAnsi="Times New Roman" w:cs="Times New Roman"/>
          <w:sz w:val="24"/>
          <w:szCs w:val="24"/>
        </w:rPr>
        <w:t xml:space="preserve"> a abordagem do ELECTRE TRI-C com o CPC.</w:t>
      </w:r>
    </w:p>
    <w:p w:rsidR="00664C9B" w:rsidRDefault="0028319D" w:rsidP="00707C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501846">
        <w:rPr>
          <w:rFonts w:ascii="Times New Roman" w:hAnsi="Times New Roman" w:cs="Times New Roman"/>
          <w:sz w:val="24"/>
          <w:szCs w:val="24"/>
        </w:rPr>
        <w:t>CPC a maioria dos cursos (80,45%) estão c</w:t>
      </w:r>
      <w:r w:rsidR="00163AA6">
        <w:rPr>
          <w:rFonts w:ascii="Times New Roman" w:hAnsi="Times New Roman" w:cs="Times New Roman"/>
          <w:sz w:val="24"/>
          <w:szCs w:val="24"/>
        </w:rPr>
        <w:t xml:space="preserve">lassificados com conceito </w:t>
      </w:r>
      <w:proofErr w:type="gramStart"/>
      <w:r w:rsidR="00163AA6">
        <w:rPr>
          <w:rFonts w:ascii="Times New Roman" w:hAnsi="Times New Roman" w:cs="Times New Roman"/>
          <w:sz w:val="24"/>
          <w:szCs w:val="24"/>
        </w:rPr>
        <w:t>3</w:t>
      </w:r>
      <w:proofErr w:type="gramEnd"/>
      <w:r w:rsidR="00163AA6">
        <w:rPr>
          <w:rFonts w:ascii="Times New Roman" w:hAnsi="Times New Roman" w:cs="Times New Roman"/>
          <w:sz w:val="24"/>
          <w:szCs w:val="24"/>
        </w:rPr>
        <w:t xml:space="preserve"> e 4, sendo que 50%</w:t>
      </w:r>
      <w:r>
        <w:rPr>
          <w:rFonts w:ascii="Times New Roman" w:hAnsi="Times New Roman" w:cs="Times New Roman"/>
          <w:sz w:val="24"/>
          <w:szCs w:val="24"/>
        </w:rPr>
        <w:t xml:space="preserve"> dos cursos de licenciatura for</w:t>
      </w:r>
      <w:r w:rsidR="00163AA6">
        <w:rPr>
          <w:rFonts w:ascii="Times New Roman" w:hAnsi="Times New Roman" w:cs="Times New Roman"/>
          <w:sz w:val="24"/>
          <w:szCs w:val="24"/>
        </w:rPr>
        <w:t>am classificados com conceito 3</w:t>
      </w:r>
      <w:r>
        <w:rPr>
          <w:rFonts w:ascii="Times New Roman" w:hAnsi="Times New Roman" w:cs="Times New Roman"/>
          <w:sz w:val="24"/>
          <w:szCs w:val="24"/>
        </w:rPr>
        <w:t xml:space="preserve">. Já pelo ELECTRE 34,59% foram alocados em C3, </w:t>
      </w:r>
      <w:r w:rsidR="00163AA6">
        <w:rPr>
          <w:rFonts w:ascii="Times New Roman" w:hAnsi="Times New Roman" w:cs="Times New Roman"/>
          <w:sz w:val="24"/>
          <w:szCs w:val="24"/>
        </w:rPr>
        <w:t xml:space="preserve">categoria correspondente ao conceito </w:t>
      </w:r>
      <w:proofErr w:type="gramStart"/>
      <w:r w:rsidR="00163AA6">
        <w:rPr>
          <w:rFonts w:ascii="Times New Roman" w:hAnsi="Times New Roman" w:cs="Times New Roman"/>
          <w:sz w:val="24"/>
          <w:szCs w:val="24"/>
        </w:rPr>
        <w:t>3</w:t>
      </w:r>
      <w:proofErr w:type="gramEnd"/>
      <w:r w:rsidR="00163AA6">
        <w:rPr>
          <w:rFonts w:ascii="Times New Roman" w:hAnsi="Times New Roman" w:cs="Times New Roman"/>
          <w:sz w:val="24"/>
          <w:szCs w:val="24"/>
        </w:rPr>
        <w:t xml:space="preserve"> do CPC</w:t>
      </w:r>
      <w:r>
        <w:rPr>
          <w:rFonts w:ascii="Times New Roman" w:hAnsi="Times New Roman" w:cs="Times New Roman"/>
          <w:sz w:val="24"/>
          <w:szCs w:val="24"/>
        </w:rPr>
        <w:t xml:space="preserve">. </w:t>
      </w:r>
      <w:r w:rsidR="00501846">
        <w:rPr>
          <w:rFonts w:ascii="Times New Roman" w:hAnsi="Times New Roman" w:cs="Times New Roman"/>
          <w:sz w:val="24"/>
          <w:szCs w:val="24"/>
        </w:rPr>
        <w:t xml:space="preserve">O ELECTRE alocou 16% dos cursos na categoria C4 que representa cursos com desempenho bom, </w:t>
      </w:r>
      <w:r w:rsidR="00501846">
        <w:rPr>
          <w:rFonts w:ascii="Times New Roman" w:hAnsi="Times New Roman" w:cs="Times New Roman"/>
          <w:sz w:val="24"/>
          <w:szCs w:val="24"/>
        </w:rPr>
        <w:lastRenderedPageBreak/>
        <w:t xml:space="preserve">enquanto que no CPC 30,45% dos cursos foram classificados com conceito </w:t>
      </w:r>
      <w:proofErr w:type="gramStart"/>
      <w:r w:rsidR="00501846">
        <w:rPr>
          <w:rFonts w:ascii="Times New Roman" w:hAnsi="Times New Roman" w:cs="Times New Roman"/>
          <w:sz w:val="24"/>
          <w:szCs w:val="24"/>
        </w:rPr>
        <w:t>4</w:t>
      </w:r>
      <w:proofErr w:type="gramEnd"/>
      <w:r w:rsidR="00501846">
        <w:rPr>
          <w:rFonts w:ascii="Times New Roman" w:hAnsi="Times New Roman" w:cs="Times New Roman"/>
          <w:sz w:val="24"/>
          <w:szCs w:val="24"/>
        </w:rPr>
        <w:t xml:space="preserve"> pelo CPC. Já a qu</w:t>
      </w:r>
      <w:r w:rsidR="00163AA6">
        <w:rPr>
          <w:rFonts w:ascii="Times New Roman" w:hAnsi="Times New Roman" w:cs="Times New Roman"/>
          <w:sz w:val="24"/>
          <w:szCs w:val="24"/>
        </w:rPr>
        <w:t>antidade de cursos em C5 se manté</w:t>
      </w:r>
      <w:r w:rsidR="00501846">
        <w:rPr>
          <w:rFonts w:ascii="Times New Roman" w:hAnsi="Times New Roman" w:cs="Times New Roman"/>
          <w:sz w:val="24"/>
          <w:szCs w:val="24"/>
        </w:rPr>
        <w:t>m praticamente a mesma para as duas abordagens. Observa-se então uma diminuição na quantidade de cursos nas categorias superiores, que representam os cursos com melhor desempenho.</w:t>
      </w:r>
    </w:p>
    <w:p w:rsidR="00501846" w:rsidRDefault="00E61434" w:rsidP="00707C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tabela 7</w:t>
      </w:r>
      <w:r w:rsidR="00D0120A">
        <w:rPr>
          <w:rFonts w:ascii="Times New Roman" w:hAnsi="Times New Roman" w:cs="Times New Roman"/>
          <w:sz w:val="24"/>
          <w:szCs w:val="24"/>
        </w:rPr>
        <w:t xml:space="preserve"> mostra as alterações na classificação dos cursos de licenciatura em matemática após a aplicação da metodologia do ELECTRE TRI-C em comparação com </w:t>
      </w:r>
      <w:r>
        <w:rPr>
          <w:rFonts w:ascii="Times New Roman" w:hAnsi="Times New Roman" w:cs="Times New Roman"/>
          <w:sz w:val="24"/>
          <w:szCs w:val="24"/>
        </w:rPr>
        <w:t>a classificação feita pelo</w:t>
      </w:r>
      <w:r w:rsidR="00D0120A">
        <w:rPr>
          <w:rFonts w:ascii="Times New Roman" w:hAnsi="Times New Roman" w:cs="Times New Roman"/>
          <w:sz w:val="24"/>
          <w:szCs w:val="24"/>
        </w:rPr>
        <w:t xml:space="preserve"> CPC.</w:t>
      </w:r>
    </w:p>
    <w:p w:rsidR="00CE2760" w:rsidRPr="00CE2760" w:rsidRDefault="00CE2760" w:rsidP="00CE2760">
      <w:pPr>
        <w:pStyle w:val="Legenda"/>
        <w:jc w:val="center"/>
        <w:rPr>
          <w:rFonts w:ascii="Times New Roman" w:hAnsi="Times New Roman" w:cs="Times New Roman"/>
          <w:b w:val="0"/>
          <w:color w:val="auto"/>
          <w:sz w:val="22"/>
          <w:szCs w:val="22"/>
        </w:rPr>
      </w:pPr>
      <w:bookmarkStart w:id="14" w:name="_Toc428261753"/>
      <w:r w:rsidRPr="00CE2760">
        <w:rPr>
          <w:rFonts w:ascii="Times New Roman" w:hAnsi="Times New Roman" w:cs="Times New Roman"/>
          <w:b w:val="0"/>
          <w:color w:val="auto"/>
          <w:sz w:val="22"/>
          <w:szCs w:val="22"/>
        </w:rPr>
        <w:t xml:space="preserve">Tabela </w:t>
      </w:r>
      <w:r w:rsidR="00E61434">
        <w:rPr>
          <w:rFonts w:ascii="Times New Roman" w:hAnsi="Times New Roman" w:cs="Times New Roman"/>
          <w:b w:val="0"/>
          <w:color w:val="auto"/>
          <w:sz w:val="22"/>
          <w:szCs w:val="22"/>
        </w:rPr>
        <w:t>7</w:t>
      </w:r>
      <w:r w:rsidRPr="00CE2760">
        <w:rPr>
          <w:rFonts w:ascii="Times New Roman" w:hAnsi="Times New Roman" w:cs="Times New Roman"/>
          <w:b w:val="0"/>
          <w:color w:val="auto"/>
          <w:sz w:val="22"/>
          <w:szCs w:val="22"/>
        </w:rPr>
        <w:t xml:space="preserve">-Alterações da classificação do ELECTRE TRI-C com relação ao CPC para os cursos de </w:t>
      </w:r>
      <w:r w:rsidR="00E61434">
        <w:rPr>
          <w:rFonts w:ascii="Times New Roman" w:hAnsi="Times New Roman" w:cs="Times New Roman"/>
          <w:b w:val="0"/>
          <w:color w:val="auto"/>
          <w:sz w:val="22"/>
          <w:szCs w:val="22"/>
        </w:rPr>
        <w:t>Licenciatura em Matemática</w:t>
      </w:r>
      <w:r w:rsidRPr="00CE2760">
        <w:rPr>
          <w:rFonts w:ascii="Times New Roman" w:hAnsi="Times New Roman" w:cs="Times New Roman"/>
          <w:b w:val="0"/>
          <w:color w:val="auto"/>
          <w:sz w:val="22"/>
          <w:szCs w:val="22"/>
        </w:rPr>
        <w:t>.</w:t>
      </w:r>
      <w:bookmarkEnd w:id="14"/>
    </w:p>
    <w:tbl>
      <w:tblPr>
        <w:tblStyle w:val="SombreamentoClaro1"/>
        <w:tblW w:w="5605" w:type="dxa"/>
        <w:jc w:val="center"/>
        <w:tblInd w:w="-1264" w:type="dxa"/>
        <w:tblLook w:val="04A0" w:firstRow="1" w:lastRow="0" w:firstColumn="1" w:lastColumn="0" w:noHBand="0" w:noVBand="1"/>
      </w:tblPr>
      <w:tblGrid>
        <w:gridCol w:w="2980"/>
        <w:gridCol w:w="2625"/>
      </w:tblGrid>
      <w:tr w:rsidR="00CE2760" w:rsidRPr="00CE2760" w:rsidTr="00A079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shd w:val="clear" w:color="auto" w:fill="auto"/>
            <w:noWrap/>
            <w:vAlign w:val="center"/>
            <w:hideMark/>
          </w:tcPr>
          <w:p w:rsidR="00CE2760" w:rsidRPr="00CE2760" w:rsidRDefault="00CE2760" w:rsidP="00A07937">
            <w:pPr>
              <w:spacing w:line="360" w:lineRule="auto"/>
              <w:jc w:val="center"/>
              <w:rPr>
                <w:rFonts w:ascii="Times New Roman" w:eastAsia="Times New Roman" w:hAnsi="Times New Roman" w:cs="Times New Roman"/>
                <w:color w:val="000000"/>
                <w:lang w:eastAsia="pt-BR"/>
              </w:rPr>
            </w:pPr>
            <w:r w:rsidRPr="00CE2760">
              <w:rPr>
                <w:rFonts w:ascii="Times New Roman" w:eastAsia="Times New Roman" w:hAnsi="Times New Roman" w:cs="Times New Roman"/>
                <w:color w:val="000000"/>
                <w:lang w:eastAsia="pt-BR"/>
              </w:rPr>
              <w:t>Alteração com relação ao CPC</w:t>
            </w:r>
          </w:p>
        </w:tc>
        <w:tc>
          <w:tcPr>
            <w:tcW w:w="2625" w:type="dxa"/>
            <w:shd w:val="clear" w:color="auto" w:fill="auto"/>
            <w:noWrap/>
            <w:vAlign w:val="center"/>
            <w:hideMark/>
          </w:tcPr>
          <w:p w:rsidR="00CE2760" w:rsidRPr="00CE2760" w:rsidRDefault="00CE2760" w:rsidP="00A0793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CE2760">
              <w:rPr>
                <w:rFonts w:ascii="Times New Roman" w:eastAsia="Times New Roman" w:hAnsi="Times New Roman" w:cs="Times New Roman"/>
                <w:color w:val="000000"/>
                <w:lang w:eastAsia="pt-BR"/>
              </w:rPr>
              <w:t>ELECTRE TRI-C</w:t>
            </w:r>
          </w:p>
        </w:tc>
      </w:tr>
      <w:tr w:rsidR="00CE2760" w:rsidRPr="00CE2760" w:rsidTr="00A07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shd w:val="clear" w:color="auto" w:fill="auto"/>
            <w:noWrap/>
            <w:vAlign w:val="center"/>
          </w:tcPr>
          <w:p w:rsidR="00CE2760" w:rsidRPr="00CE2760" w:rsidRDefault="00CE2760" w:rsidP="00A07937">
            <w:pPr>
              <w:spacing w:line="360" w:lineRule="auto"/>
              <w:jc w:val="center"/>
              <w:rPr>
                <w:rFonts w:ascii="Times New Roman" w:eastAsia="Times New Roman" w:hAnsi="Times New Roman" w:cs="Times New Roman"/>
                <w:b w:val="0"/>
                <w:color w:val="000000"/>
                <w:lang w:eastAsia="pt-BR"/>
              </w:rPr>
            </w:pPr>
            <w:r w:rsidRPr="00CE2760">
              <w:rPr>
                <w:rFonts w:ascii="Times New Roman" w:eastAsia="Times New Roman" w:hAnsi="Times New Roman" w:cs="Times New Roman"/>
                <w:b w:val="0"/>
                <w:color w:val="000000"/>
                <w:lang w:eastAsia="pt-BR"/>
              </w:rPr>
              <w:t>Sem Alteração</w:t>
            </w:r>
          </w:p>
        </w:tc>
        <w:tc>
          <w:tcPr>
            <w:tcW w:w="2625" w:type="dxa"/>
            <w:shd w:val="clear" w:color="auto" w:fill="auto"/>
            <w:noWrap/>
            <w:vAlign w:val="center"/>
          </w:tcPr>
          <w:p w:rsidR="00CE2760" w:rsidRPr="00CE2760" w:rsidRDefault="00CE2760" w:rsidP="00A0793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CE2760">
              <w:rPr>
                <w:rFonts w:ascii="Times New Roman" w:eastAsia="Times New Roman" w:hAnsi="Times New Roman" w:cs="Times New Roman"/>
                <w:color w:val="000000"/>
                <w:lang w:eastAsia="pt-BR"/>
              </w:rPr>
              <w:t>12</w:t>
            </w:r>
            <w:r>
              <w:rPr>
                <w:rFonts w:ascii="Times New Roman" w:eastAsia="Times New Roman" w:hAnsi="Times New Roman" w:cs="Times New Roman"/>
                <w:color w:val="000000"/>
                <w:lang w:eastAsia="pt-BR"/>
              </w:rPr>
              <w:t>8</w:t>
            </w:r>
          </w:p>
        </w:tc>
      </w:tr>
      <w:tr w:rsidR="00CE2760" w:rsidRPr="00CE2760" w:rsidTr="00A07937">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shd w:val="clear" w:color="auto" w:fill="auto"/>
            <w:noWrap/>
            <w:vAlign w:val="center"/>
          </w:tcPr>
          <w:p w:rsidR="00CE2760" w:rsidRPr="00CE2760" w:rsidRDefault="00CE2760" w:rsidP="00A07937">
            <w:pPr>
              <w:spacing w:line="360" w:lineRule="auto"/>
              <w:jc w:val="center"/>
              <w:rPr>
                <w:rFonts w:ascii="Times New Roman" w:eastAsia="Times New Roman" w:hAnsi="Times New Roman" w:cs="Times New Roman"/>
                <w:b w:val="0"/>
                <w:color w:val="000000"/>
                <w:lang w:eastAsia="pt-BR"/>
              </w:rPr>
            </w:pPr>
            <w:r w:rsidRPr="00CE2760">
              <w:rPr>
                <w:rFonts w:ascii="Times New Roman" w:eastAsia="Times New Roman" w:hAnsi="Times New Roman" w:cs="Times New Roman"/>
                <w:b w:val="0"/>
                <w:color w:val="000000"/>
                <w:lang w:eastAsia="pt-BR"/>
              </w:rPr>
              <w:t>Sobe uma Categoria</w:t>
            </w:r>
          </w:p>
        </w:tc>
        <w:tc>
          <w:tcPr>
            <w:tcW w:w="2625" w:type="dxa"/>
            <w:shd w:val="clear" w:color="auto" w:fill="auto"/>
            <w:noWrap/>
            <w:vAlign w:val="center"/>
          </w:tcPr>
          <w:p w:rsidR="00CE2760" w:rsidRPr="00CE2760" w:rsidRDefault="00763721" w:rsidP="00A0793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color w:val="000000"/>
                <w:lang w:eastAsia="pt-BR"/>
              </w:rPr>
              <w:t>3</w:t>
            </w:r>
            <w:proofErr w:type="gramEnd"/>
          </w:p>
        </w:tc>
      </w:tr>
      <w:tr w:rsidR="00CE2760" w:rsidRPr="00CE2760" w:rsidTr="00A079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shd w:val="clear" w:color="auto" w:fill="auto"/>
            <w:noWrap/>
            <w:vAlign w:val="center"/>
          </w:tcPr>
          <w:p w:rsidR="00CE2760" w:rsidRPr="00CE2760" w:rsidRDefault="00CE2760" w:rsidP="00A07937">
            <w:pPr>
              <w:spacing w:line="360" w:lineRule="auto"/>
              <w:jc w:val="center"/>
              <w:rPr>
                <w:rFonts w:ascii="Times New Roman" w:eastAsia="Times New Roman" w:hAnsi="Times New Roman" w:cs="Times New Roman"/>
                <w:b w:val="0"/>
                <w:color w:val="000000"/>
                <w:lang w:eastAsia="pt-BR"/>
              </w:rPr>
            </w:pPr>
            <w:r w:rsidRPr="00CE2760">
              <w:rPr>
                <w:rFonts w:ascii="Times New Roman" w:eastAsia="Times New Roman" w:hAnsi="Times New Roman" w:cs="Times New Roman"/>
                <w:b w:val="0"/>
                <w:color w:val="000000"/>
                <w:lang w:eastAsia="pt-BR"/>
              </w:rPr>
              <w:t>Desce uma categoria</w:t>
            </w:r>
          </w:p>
        </w:tc>
        <w:tc>
          <w:tcPr>
            <w:tcW w:w="2625" w:type="dxa"/>
            <w:shd w:val="clear" w:color="auto" w:fill="auto"/>
            <w:noWrap/>
            <w:vAlign w:val="center"/>
          </w:tcPr>
          <w:p w:rsidR="00CE2760" w:rsidRPr="00CE2760" w:rsidRDefault="00CE2760" w:rsidP="00A0793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11</w:t>
            </w:r>
            <w:r w:rsidRPr="00CE2760">
              <w:rPr>
                <w:rFonts w:ascii="Times New Roman" w:eastAsia="Times New Roman" w:hAnsi="Times New Roman" w:cs="Times New Roman"/>
                <w:color w:val="000000"/>
                <w:lang w:eastAsia="pt-BR"/>
              </w:rPr>
              <w:t>6</w:t>
            </w:r>
          </w:p>
        </w:tc>
      </w:tr>
      <w:tr w:rsidR="00CE2760" w:rsidRPr="00CE2760" w:rsidTr="00A07937">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shd w:val="clear" w:color="auto" w:fill="auto"/>
            <w:noWrap/>
            <w:vAlign w:val="center"/>
          </w:tcPr>
          <w:p w:rsidR="00CE2760" w:rsidRPr="00CE2760" w:rsidRDefault="00CE2760" w:rsidP="00A07937">
            <w:pPr>
              <w:spacing w:line="360" w:lineRule="auto"/>
              <w:jc w:val="center"/>
              <w:rPr>
                <w:rFonts w:ascii="Times New Roman" w:eastAsia="Times New Roman" w:hAnsi="Times New Roman" w:cs="Times New Roman"/>
                <w:b w:val="0"/>
                <w:color w:val="000000"/>
                <w:lang w:eastAsia="pt-BR"/>
              </w:rPr>
            </w:pPr>
            <w:r w:rsidRPr="00CE2760">
              <w:rPr>
                <w:rFonts w:ascii="Times New Roman" w:eastAsia="Times New Roman" w:hAnsi="Times New Roman" w:cs="Times New Roman"/>
                <w:b w:val="0"/>
                <w:color w:val="000000"/>
                <w:lang w:eastAsia="pt-BR"/>
              </w:rPr>
              <w:t>Desce duas categorias</w:t>
            </w:r>
          </w:p>
        </w:tc>
        <w:tc>
          <w:tcPr>
            <w:tcW w:w="2625" w:type="dxa"/>
            <w:shd w:val="clear" w:color="auto" w:fill="auto"/>
            <w:noWrap/>
            <w:vAlign w:val="center"/>
          </w:tcPr>
          <w:p w:rsidR="00CE2760" w:rsidRPr="00CE2760" w:rsidRDefault="00CE2760" w:rsidP="00A0793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19</w:t>
            </w:r>
          </w:p>
        </w:tc>
      </w:tr>
    </w:tbl>
    <w:p w:rsidR="00150799" w:rsidRDefault="00150799" w:rsidP="00150799">
      <w:bookmarkStart w:id="15" w:name="_Toc422083844"/>
    </w:p>
    <w:p w:rsidR="00A22903" w:rsidRDefault="00CB2D69" w:rsidP="002715E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5B0F" w:rsidRPr="00A22903">
        <w:rPr>
          <w:rFonts w:ascii="Times New Roman" w:hAnsi="Times New Roman" w:cs="Times New Roman"/>
          <w:sz w:val="24"/>
          <w:szCs w:val="24"/>
        </w:rPr>
        <w:t>Os resultados mostram que 116 cursos caem uma categoria quando comparamos os resultados do ELECTRE com os do CPC.</w:t>
      </w:r>
      <w:r w:rsidR="00BD2180" w:rsidRPr="00A22903">
        <w:rPr>
          <w:rFonts w:ascii="Times New Roman" w:hAnsi="Times New Roman" w:cs="Times New Roman"/>
          <w:sz w:val="24"/>
          <w:szCs w:val="24"/>
        </w:rPr>
        <w:t xml:space="preserve"> Como algumas IES tem mais de um curso de licenciatura em matemática, para diferenciá-los assim como o INEP faz será informado o município onde cada curso está localizado quando a IES apresentar mais de um curso.</w:t>
      </w:r>
      <w:r w:rsidR="00B45B0F" w:rsidRPr="00A22903">
        <w:rPr>
          <w:rFonts w:ascii="Times New Roman" w:hAnsi="Times New Roman" w:cs="Times New Roman"/>
          <w:sz w:val="24"/>
          <w:szCs w:val="24"/>
        </w:rPr>
        <w:t xml:space="preserve"> Destes, 30 cursos caem do conceito </w:t>
      </w:r>
      <w:proofErr w:type="gramStart"/>
      <w:r w:rsidR="00B45B0F" w:rsidRPr="00A22903">
        <w:rPr>
          <w:rFonts w:ascii="Times New Roman" w:hAnsi="Times New Roman" w:cs="Times New Roman"/>
          <w:sz w:val="24"/>
          <w:szCs w:val="24"/>
        </w:rPr>
        <w:t>4</w:t>
      </w:r>
      <w:proofErr w:type="gramEnd"/>
      <w:r w:rsidR="00B45B0F" w:rsidRPr="00A22903">
        <w:rPr>
          <w:rFonts w:ascii="Times New Roman" w:hAnsi="Times New Roman" w:cs="Times New Roman"/>
          <w:sz w:val="24"/>
          <w:szCs w:val="24"/>
        </w:rPr>
        <w:t xml:space="preserve"> do CPC para a categoria C3</w:t>
      </w:r>
      <w:r w:rsidR="002715E1" w:rsidRPr="00A22903">
        <w:rPr>
          <w:rFonts w:ascii="Times New Roman" w:hAnsi="Times New Roman" w:cs="Times New Roman"/>
          <w:sz w:val="24"/>
          <w:szCs w:val="24"/>
        </w:rPr>
        <w:t>: UNB, UFS</w:t>
      </w:r>
      <w:r w:rsidR="007211F0" w:rsidRPr="00A22903">
        <w:rPr>
          <w:rFonts w:ascii="Times New Roman" w:hAnsi="Times New Roman" w:cs="Times New Roman"/>
          <w:sz w:val="24"/>
          <w:szCs w:val="24"/>
        </w:rPr>
        <w:t xml:space="preserve"> (Itabaiana)</w:t>
      </w:r>
      <w:r w:rsidR="002715E1" w:rsidRPr="00A22903">
        <w:rPr>
          <w:rFonts w:ascii="Times New Roman" w:hAnsi="Times New Roman" w:cs="Times New Roman"/>
          <w:sz w:val="24"/>
          <w:szCs w:val="24"/>
        </w:rPr>
        <w:t>, UFOP, FURG, UCS, UNEB</w:t>
      </w:r>
      <w:r w:rsidR="007211F0" w:rsidRPr="00A22903">
        <w:rPr>
          <w:rFonts w:ascii="Times New Roman" w:hAnsi="Times New Roman" w:cs="Times New Roman"/>
          <w:sz w:val="24"/>
          <w:szCs w:val="24"/>
        </w:rPr>
        <w:t xml:space="preserve"> (Barreiras)</w:t>
      </w:r>
      <w:r w:rsidR="002715E1" w:rsidRPr="00A22903">
        <w:rPr>
          <w:rFonts w:ascii="Times New Roman" w:hAnsi="Times New Roman" w:cs="Times New Roman"/>
          <w:sz w:val="24"/>
          <w:szCs w:val="24"/>
        </w:rPr>
        <w:t>, UNICAMP, UEM</w:t>
      </w:r>
      <w:r w:rsidR="007211F0" w:rsidRPr="00A22903">
        <w:rPr>
          <w:rFonts w:ascii="Times New Roman" w:hAnsi="Times New Roman" w:cs="Times New Roman"/>
          <w:sz w:val="24"/>
          <w:szCs w:val="24"/>
        </w:rPr>
        <w:t xml:space="preserve"> (Maringá)</w:t>
      </w:r>
      <w:r w:rsidR="002715E1" w:rsidRPr="00A22903">
        <w:rPr>
          <w:rFonts w:ascii="Times New Roman" w:hAnsi="Times New Roman" w:cs="Times New Roman"/>
          <w:sz w:val="24"/>
          <w:szCs w:val="24"/>
        </w:rPr>
        <w:t>, UFSJ, UNIRP, UNOESTE, UNIVAP, UNISC, UNIP, URI</w:t>
      </w:r>
      <w:r w:rsidR="007211F0" w:rsidRPr="00A22903">
        <w:rPr>
          <w:rFonts w:ascii="Times New Roman" w:hAnsi="Times New Roman" w:cs="Times New Roman"/>
          <w:sz w:val="24"/>
          <w:szCs w:val="24"/>
        </w:rPr>
        <w:t xml:space="preserve"> (Frederico Westphalen)</w:t>
      </w:r>
      <w:r w:rsidR="002715E1" w:rsidRPr="00A22903">
        <w:rPr>
          <w:rFonts w:ascii="Times New Roman" w:hAnsi="Times New Roman" w:cs="Times New Roman"/>
          <w:sz w:val="24"/>
          <w:szCs w:val="24"/>
        </w:rPr>
        <w:t>, ULBRA</w:t>
      </w:r>
      <w:r w:rsidR="003B55F4" w:rsidRPr="00A22903">
        <w:rPr>
          <w:rFonts w:ascii="Times New Roman" w:hAnsi="Times New Roman" w:cs="Times New Roman"/>
          <w:sz w:val="24"/>
          <w:szCs w:val="24"/>
        </w:rPr>
        <w:t xml:space="preserve"> (São Jerônimo)</w:t>
      </w:r>
      <w:r w:rsidR="002715E1" w:rsidRPr="00A22903">
        <w:rPr>
          <w:rFonts w:ascii="Times New Roman" w:hAnsi="Times New Roman" w:cs="Times New Roman"/>
          <w:sz w:val="24"/>
          <w:szCs w:val="24"/>
        </w:rPr>
        <w:t>, UFPR, UFRRJ</w:t>
      </w:r>
      <w:r w:rsidR="003B55F4" w:rsidRPr="00A22903">
        <w:rPr>
          <w:rFonts w:ascii="Times New Roman" w:hAnsi="Times New Roman" w:cs="Times New Roman"/>
          <w:sz w:val="24"/>
          <w:szCs w:val="24"/>
        </w:rPr>
        <w:t xml:space="preserve"> (Nova Iguaçu)</w:t>
      </w:r>
      <w:r w:rsidR="002715E1" w:rsidRPr="00A22903">
        <w:rPr>
          <w:rFonts w:ascii="Times New Roman" w:hAnsi="Times New Roman" w:cs="Times New Roman"/>
          <w:sz w:val="24"/>
          <w:szCs w:val="24"/>
        </w:rPr>
        <w:t>, UFMG, UFPB, UFG</w:t>
      </w:r>
      <w:r w:rsidR="003B55F4" w:rsidRPr="00A22903">
        <w:rPr>
          <w:rFonts w:ascii="Times New Roman" w:hAnsi="Times New Roman" w:cs="Times New Roman"/>
          <w:sz w:val="24"/>
          <w:szCs w:val="24"/>
        </w:rPr>
        <w:t xml:space="preserve"> (Jataí)</w:t>
      </w:r>
      <w:r w:rsidR="002715E1" w:rsidRPr="00A22903">
        <w:rPr>
          <w:rFonts w:ascii="Times New Roman" w:hAnsi="Times New Roman" w:cs="Times New Roman"/>
          <w:sz w:val="24"/>
          <w:szCs w:val="24"/>
        </w:rPr>
        <w:t>, UNILASALLE, UFMS</w:t>
      </w:r>
      <w:r w:rsidR="003B55F4">
        <w:rPr>
          <w:rFonts w:ascii="Times New Roman" w:hAnsi="Times New Roman" w:cs="Times New Roman"/>
          <w:sz w:val="24"/>
          <w:szCs w:val="24"/>
        </w:rPr>
        <w:t xml:space="preserve"> (Três Lagoas)</w:t>
      </w:r>
      <w:r w:rsidR="002715E1" w:rsidRPr="002715E1">
        <w:rPr>
          <w:rFonts w:ascii="Times New Roman" w:hAnsi="Times New Roman" w:cs="Times New Roman"/>
          <w:sz w:val="24"/>
          <w:szCs w:val="24"/>
        </w:rPr>
        <w:t>, UEPG, UNIVAG, UNIFAP, UENF, UNISUZ, IESGO E FACCAT.</w:t>
      </w:r>
      <w:r w:rsidR="00A262EC">
        <w:rPr>
          <w:rFonts w:ascii="Times New Roman" w:hAnsi="Times New Roman" w:cs="Times New Roman"/>
          <w:sz w:val="24"/>
          <w:szCs w:val="24"/>
        </w:rPr>
        <w:t xml:space="preserve"> Como característica esses cursos tem um desempenho mediano no critério IDD que possui peso de 35% na composição do CPC, desempenho ruim no critério Nota E</w:t>
      </w:r>
      <w:r w:rsidR="00DF122D">
        <w:rPr>
          <w:rFonts w:ascii="Times New Roman" w:hAnsi="Times New Roman" w:cs="Times New Roman"/>
          <w:sz w:val="24"/>
          <w:szCs w:val="24"/>
        </w:rPr>
        <w:t>NADE</w:t>
      </w:r>
      <w:r w:rsidR="00A262EC">
        <w:rPr>
          <w:rFonts w:ascii="Times New Roman" w:hAnsi="Times New Roman" w:cs="Times New Roman"/>
          <w:sz w:val="24"/>
          <w:szCs w:val="24"/>
        </w:rPr>
        <w:t xml:space="preserve">, principalmente na parte de conhecimentos específicos. </w:t>
      </w:r>
      <w:r w:rsidR="00DF122D">
        <w:rPr>
          <w:rFonts w:ascii="Times New Roman" w:hAnsi="Times New Roman" w:cs="Times New Roman"/>
          <w:sz w:val="24"/>
          <w:szCs w:val="24"/>
        </w:rPr>
        <w:t xml:space="preserve"> </w:t>
      </w:r>
    </w:p>
    <w:p w:rsidR="00CB2D69" w:rsidRDefault="00A22903" w:rsidP="00A2290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w:t>
      </w:r>
      <w:r w:rsidR="00DF122D">
        <w:rPr>
          <w:rFonts w:ascii="Times New Roman" w:hAnsi="Times New Roman" w:cs="Times New Roman"/>
          <w:sz w:val="24"/>
          <w:szCs w:val="24"/>
        </w:rPr>
        <w:t xml:space="preserve"> maioria dos cursos que desceu uma categoria, 62 cursos</w:t>
      </w:r>
      <w:r>
        <w:rPr>
          <w:rFonts w:ascii="Times New Roman" w:hAnsi="Times New Roman" w:cs="Times New Roman"/>
          <w:sz w:val="24"/>
          <w:szCs w:val="24"/>
        </w:rPr>
        <w:t xml:space="preserve"> deles</w:t>
      </w:r>
      <w:r w:rsidR="00DF122D">
        <w:rPr>
          <w:rFonts w:ascii="Times New Roman" w:hAnsi="Times New Roman" w:cs="Times New Roman"/>
          <w:sz w:val="24"/>
          <w:szCs w:val="24"/>
        </w:rPr>
        <w:t xml:space="preserve">, eram classificados com conceito </w:t>
      </w:r>
      <w:proofErr w:type="gramStart"/>
      <w:r w:rsidR="00DF122D">
        <w:rPr>
          <w:rFonts w:ascii="Times New Roman" w:hAnsi="Times New Roman" w:cs="Times New Roman"/>
          <w:sz w:val="24"/>
          <w:szCs w:val="24"/>
        </w:rPr>
        <w:t>3</w:t>
      </w:r>
      <w:proofErr w:type="gramEnd"/>
      <w:r w:rsidR="00DF122D">
        <w:rPr>
          <w:rFonts w:ascii="Times New Roman" w:hAnsi="Times New Roman" w:cs="Times New Roman"/>
          <w:sz w:val="24"/>
          <w:szCs w:val="24"/>
        </w:rPr>
        <w:t xml:space="preserve"> no CPC e no ELECTRE TRI-C passaram a ser alocados em C2 onde ficam cursos com desempenho ruim. </w:t>
      </w:r>
      <w:r w:rsidR="00262D94">
        <w:rPr>
          <w:rFonts w:ascii="Times New Roman" w:hAnsi="Times New Roman" w:cs="Times New Roman"/>
          <w:sz w:val="24"/>
          <w:szCs w:val="24"/>
        </w:rPr>
        <w:t xml:space="preserve"> </w:t>
      </w:r>
      <w:r w:rsidR="002715E1" w:rsidRPr="00A22903">
        <w:rPr>
          <w:rFonts w:ascii="Times New Roman" w:hAnsi="Times New Roman" w:cs="Times New Roman"/>
          <w:sz w:val="24"/>
          <w:szCs w:val="24"/>
        </w:rPr>
        <w:t>São eles: UFMT</w:t>
      </w:r>
      <w:r w:rsidR="007211F0" w:rsidRPr="00A22903">
        <w:rPr>
          <w:rFonts w:ascii="Times New Roman" w:hAnsi="Times New Roman" w:cs="Times New Roman"/>
          <w:sz w:val="24"/>
          <w:szCs w:val="24"/>
        </w:rPr>
        <w:t xml:space="preserve"> (Rondonópolis)</w:t>
      </w:r>
      <w:r w:rsidR="002715E1" w:rsidRPr="00A22903">
        <w:rPr>
          <w:rFonts w:ascii="Times New Roman" w:hAnsi="Times New Roman" w:cs="Times New Roman"/>
          <w:sz w:val="24"/>
          <w:szCs w:val="24"/>
        </w:rPr>
        <w:t>, UFPI</w:t>
      </w:r>
      <w:r w:rsidR="003F6B52" w:rsidRPr="00A22903">
        <w:rPr>
          <w:rFonts w:ascii="Times New Roman" w:hAnsi="Times New Roman" w:cs="Times New Roman"/>
          <w:sz w:val="24"/>
          <w:szCs w:val="24"/>
        </w:rPr>
        <w:t xml:space="preserve"> (Picos)</w:t>
      </w:r>
      <w:r w:rsidR="002715E1" w:rsidRPr="00A22903">
        <w:rPr>
          <w:rFonts w:ascii="Times New Roman" w:hAnsi="Times New Roman" w:cs="Times New Roman"/>
          <w:sz w:val="24"/>
          <w:szCs w:val="24"/>
        </w:rPr>
        <w:t>, PUCPR, UEPA</w:t>
      </w:r>
      <w:r w:rsidR="003F6B52" w:rsidRPr="00A22903">
        <w:rPr>
          <w:rFonts w:ascii="Times New Roman" w:hAnsi="Times New Roman" w:cs="Times New Roman"/>
          <w:sz w:val="24"/>
          <w:szCs w:val="24"/>
        </w:rPr>
        <w:t xml:space="preserve"> (Belém)</w:t>
      </w:r>
      <w:r w:rsidR="002715E1" w:rsidRPr="00A22903">
        <w:rPr>
          <w:rFonts w:ascii="Times New Roman" w:hAnsi="Times New Roman" w:cs="Times New Roman"/>
          <w:sz w:val="24"/>
          <w:szCs w:val="24"/>
        </w:rPr>
        <w:t>, UNEB</w:t>
      </w:r>
      <w:r w:rsidR="00D0221D">
        <w:rPr>
          <w:rFonts w:ascii="Times New Roman" w:hAnsi="Times New Roman" w:cs="Times New Roman"/>
          <w:sz w:val="24"/>
          <w:szCs w:val="24"/>
        </w:rPr>
        <w:t xml:space="preserve"> (C</w:t>
      </w:r>
      <w:r w:rsidR="003F6B52" w:rsidRPr="00A22903">
        <w:rPr>
          <w:rFonts w:ascii="Times New Roman" w:hAnsi="Times New Roman" w:cs="Times New Roman"/>
          <w:sz w:val="24"/>
          <w:szCs w:val="24"/>
        </w:rPr>
        <w:t>aetité)</w:t>
      </w:r>
      <w:r w:rsidR="002715E1" w:rsidRPr="00A22903">
        <w:rPr>
          <w:rFonts w:ascii="Times New Roman" w:hAnsi="Times New Roman" w:cs="Times New Roman"/>
          <w:sz w:val="24"/>
          <w:szCs w:val="24"/>
        </w:rPr>
        <w:t>, UEG</w:t>
      </w:r>
      <w:r w:rsidR="003F6B52" w:rsidRPr="00A22903">
        <w:rPr>
          <w:rFonts w:ascii="Times New Roman" w:hAnsi="Times New Roman" w:cs="Times New Roman"/>
          <w:sz w:val="24"/>
          <w:szCs w:val="24"/>
        </w:rPr>
        <w:t xml:space="preserve"> (Iporá)</w:t>
      </w:r>
      <w:r w:rsidR="002715E1" w:rsidRPr="00A22903">
        <w:rPr>
          <w:rFonts w:ascii="Times New Roman" w:hAnsi="Times New Roman" w:cs="Times New Roman"/>
          <w:sz w:val="24"/>
          <w:szCs w:val="24"/>
        </w:rPr>
        <w:t>, UEG</w:t>
      </w:r>
      <w:r w:rsidR="003F6B52" w:rsidRPr="00A22903">
        <w:rPr>
          <w:rFonts w:ascii="Times New Roman" w:hAnsi="Times New Roman" w:cs="Times New Roman"/>
          <w:sz w:val="24"/>
          <w:szCs w:val="24"/>
        </w:rPr>
        <w:t xml:space="preserve"> (Morrinhos)</w:t>
      </w:r>
      <w:r w:rsidR="002715E1" w:rsidRPr="00A22903">
        <w:rPr>
          <w:rFonts w:ascii="Times New Roman" w:hAnsi="Times New Roman" w:cs="Times New Roman"/>
          <w:sz w:val="24"/>
          <w:szCs w:val="24"/>
        </w:rPr>
        <w:t>, UEG</w:t>
      </w:r>
      <w:r w:rsidR="003F6B52" w:rsidRPr="00A22903">
        <w:rPr>
          <w:rFonts w:ascii="Times New Roman" w:hAnsi="Times New Roman" w:cs="Times New Roman"/>
          <w:sz w:val="24"/>
          <w:szCs w:val="24"/>
        </w:rPr>
        <w:t xml:space="preserve"> (Santa Helena de </w:t>
      </w:r>
      <w:r w:rsidR="003F6B52" w:rsidRPr="00A22903">
        <w:rPr>
          <w:rFonts w:ascii="Times New Roman" w:hAnsi="Times New Roman" w:cs="Times New Roman"/>
          <w:sz w:val="24"/>
          <w:szCs w:val="24"/>
        </w:rPr>
        <w:lastRenderedPageBreak/>
        <w:t>Goi</w:t>
      </w:r>
      <w:r>
        <w:rPr>
          <w:rFonts w:ascii="Times New Roman" w:hAnsi="Times New Roman" w:cs="Times New Roman"/>
          <w:sz w:val="24"/>
          <w:szCs w:val="24"/>
        </w:rPr>
        <w:t>ás)</w:t>
      </w:r>
      <w:r w:rsidR="002715E1" w:rsidRPr="00A22903">
        <w:rPr>
          <w:rFonts w:ascii="Times New Roman" w:hAnsi="Times New Roman" w:cs="Times New Roman"/>
          <w:sz w:val="24"/>
          <w:szCs w:val="24"/>
        </w:rPr>
        <w:t>, FURB, FAFIA, USC, UNESA</w:t>
      </w:r>
      <w:r w:rsidR="003F6B52" w:rsidRPr="00A22903">
        <w:rPr>
          <w:rFonts w:ascii="Times New Roman" w:hAnsi="Times New Roman" w:cs="Times New Roman"/>
          <w:sz w:val="24"/>
          <w:szCs w:val="24"/>
        </w:rPr>
        <w:t xml:space="preserve"> (Rio de Janeiro)</w:t>
      </w:r>
      <w:r w:rsidR="002715E1" w:rsidRPr="00A22903">
        <w:rPr>
          <w:rFonts w:ascii="Times New Roman" w:hAnsi="Times New Roman" w:cs="Times New Roman"/>
          <w:sz w:val="24"/>
          <w:szCs w:val="24"/>
        </w:rPr>
        <w:t xml:space="preserve">, </w:t>
      </w:r>
      <w:r w:rsidR="00262D94" w:rsidRPr="00A22903">
        <w:rPr>
          <w:rFonts w:ascii="Times New Roman" w:hAnsi="Times New Roman" w:cs="Times New Roman"/>
          <w:sz w:val="24"/>
          <w:szCs w:val="24"/>
        </w:rPr>
        <w:t>UCB</w:t>
      </w:r>
      <w:r w:rsidR="003F6B52" w:rsidRPr="00A22903">
        <w:rPr>
          <w:rFonts w:ascii="Times New Roman" w:hAnsi="Times New Roman" w:cs="Times New Roman"/>
          <w:sz w:val="24"/>
          <w:szCs w:val="24"/>
        </w:rPr>
        <w:t xml:space="preserve"> (Rio de Janeiro)</w:t>
      </w:r>
      <w:r w:rsidR="00262D94" w:rsidRPr="00A22903">
        <w:rPr>
          <w:rFonts w:ascii="Times New Roman" w:hAnsi="Times New Roman" w:cs="Times New Roman"/>
          <w:sz w:val="24"/>
          <w:szCs w:val="24"/>
        </w:rPr>
        <w:t>, UCB</w:t>
      </w:r>
      <w:r w:rsidR="003F6B52" w:rsidRPr="00A22903">
        <w:rPr>
          <w:rFonts w:ascii="Times New Roman" w:hAnsi="Times New Roman" w:cs="Times New Roman"/>
          <w:sz w:val="24"/>
          <w:szCs w:val="24"/>
        </w:rPr>
        <w:t xml:space="preserve"> (Brasília)</w:t>
      </w:r>
      <w:r w:rsidR="00262D94" w:rsidRPr="00A22903">
        <w:rPr>
          <w:rFonts w:ascii="Times New Roman" w:hAnsi="Times New Roman" w:cs="Times New Roman"/>
          <w:sz w:val="24"/>
          <w:szCs w:val="24"/>
        </w:rPr>
        <w:t>, UPE, UNIPAR, ULBRA</w:t>
      </w:r>
      <w:r w:rsidR="003F6B52" w:rsidRPr="00A22903">
        <w:rPr>
          <w:rFonts w:ascii="Times New Roman" w:hAnsi="Times New Roman" w:cs="Times New Roman"/>
          <w:sz w:val="24"/>
          <w:szCs w:val="24"/>
        </w:rPr>
        <w:t xml:space="preserve"> (Gravataí)</w:t>
      </w:r>
      <w:r w:rsidR="00262D94" w:rsidRPr="00A22903">
        <w:rPr>
          <w:rFonts w:ascii="Times New Roman" w:hAnsi="Times New Roman" w:cs="Times New Roman"/>
          <w:sz w:val="24"/>
          <w:szCs w:val="24"/>
        </w:rPr>
        <w:t>, ULBRA</w:t>
      </w:r>
      <w:r w:rsidR="003F6B52" w:rsidRPr="00A22903">
        <w:rPr>
          <w:rFonts w:ascii="Times New Roman" w:hAnsi="Times New Roman" w:cs="Times New Roman"/>
          <w:sz w:val="24"/>
          <w:szCs w:val="24"/>
        </w:rPr>
        <w:t xml:space="preserve"> (Torres)</w:t>
      </w:r>
      <w:r w:rsidR="00262D94" w:rsidRPr="00A22903">
        <w:rPr>
          <w:rFonts w:ascii="Times New Roman" w:hAnsi="Times New Roman" w:cs="Times New Roman"/>
          <w:sz w:val="24"/>
          <w:szCs w:val="24"/>
        </w:rPr>
        <w:t>, UNIBAN, UNESC, UNIFRAN, UNIJUI, UFRN, UFES, IFMA, UNINILTONLINS, FAFIUV, UFMS</w:t>
      </w:r>
      <w:r w:rsidR="003F6B52" w:rsidRPr="00A22903">
        <w:rPr>
          <w:rFonts w:ascii="Times New Roman" w:hAnsi="Times New Roman" w:cs="Times New Roman"/>
          <w:sz w:val="24"/>
          <w:szCs w:val="24"/>
        </w:rPr>
        <w:t xml:space="preserve"> (Aquidauana)</w:t>
      </w:r>
      <w:r w:rsidR="00262D94" w:rsidRPr="00A22903">
        <w:rPr>
          <w:rFonts w:ascii="Times New Roman" w:hAnsi="Times New Roman" w:cs="Times New Roman"/>
          <w:sz w:val="24"/>
          <w:szCs w:val="24"/>
        </w:rPr>
        <w:t>, UNIR, UNEMAT, UESPI, FIA, UEMS</w:t>
      </w:r>
      <w:r w:rsidR="003F6B52" w:rsidRPr="00A22903">
        <w:rPr>
          <w:rFonts w:ascii="Times New Roman" w:hAnsi="Times New Roman" w:cs="Times New Roman"/>
          <w:sz w:val="24"/>
          <w:szCs w:val="24"/>
        </w:rPr>
        <w:t xml:space="preserve"> (Cassilândia)</w:t>
      </w:r>
      <w:r w:rsidR="00262D94" w:rsidRPr="00A22903">
        <w:rPr>
          <w:rFonts w:ascii="Times New Roman" w:hAnsi="Times New Roman" w:cs="Times New Roman"/>
          <w:sz w:val="24"/>
          <w:szCs w:val="24"/>
        </w:rPr>
        <w:t>, UEMS</w:t>
      </w:r>
      <w:r w:rsidR="003F6B52" w:rsidRPr="00A22903">
        <w:rPr>
          <w:rFonts w:ascii="Times New Roman" w:hAnsi="Times New Roman" w:cs="Times New Roman"/>
          <w:sz w:val="24"/>
          <w:szCs w:val="24"/>
        </w:rPr>
        <w:t xml:space="preserve"> (Nova Andradina)</w:t>
      </w:r>
      <w:r w:rsidR="00262D94" w:rsidRPr="00A22903">
        <w:rPr>
          <w:rFonts w:ascii="Times New Roman" w:hAnsi="Times New Roman" w:cs="Times New Roman"/>
          <w:sz w:val="24"/>
          <w:szCs w:val="24"/>
        </w:rPr>
        <w:t>, UNESF, UNICENTRO, FGS, UNASP, UNINORTE, FAST, FAN, FIESI, IFCE</w:t>
      </w:r>
      <w:r w:rsidR="003F6B52" w:rsidRPr="00A22903">
        <w:rPr>
          <w:rFonts w:ascii="Times New Roman" w:hAnsi="Times New Roman" w:cs="Times New Roman"/>
          <w:sz w:val="24"/>
          <w:szCs w:val="24"/>
        </w:rPr>
        <w:t xml:space="preserve"> (Cedro)</w:t>
      </w:r>
      <w:r w:rsidR="00262D94" w:rsidRPr="00A22903">
        <w:rPr>
          <w:rFonts w:ascii="Times New Roman" w:hAnsi="Times New Roman" w:cs="Times New Roman"/>
          <w:sz w:val="24"/>
          <w:szCs w:val="24"/>
        </w:rPr>
        <w:t>, IFPA, FARESE, FACIMED, UNIABEU, IFRJ, UEA, FG, ISEIB, FAINTVISA, UNIFEB, FAPE, F</w:t>
      </w:r>
      <w:r w:rsidR="00262D94">
        <w:rPr>
          <w:rFonts w:ascii="Times New Roman" w:hAnsi="Times New Roman" w:cs="Times New Roman"/>
          <w:sz w:val="24"/>
          <w:szCs w:val="24"/>
        </w:rPr>
        <w:t>AG, UFT, CESEP, FIC, UFGD e UENP.</w:t>
      </w:r>
      <w:r w:rsidR="00CB2D69">
        <w:rPr>
          <w:rFonts w:ascii="Times New Roman" w:hAnsi="Times New Roman" w:cs="Times New Roman"/>
          <w:sz w:val="24"/>
          <w:szCs w:val="24"/>
        </w:rPr>
        <w:t xml:space="preserve"> </w:t>
      </w:r>
      <w:r w:rsidR="00541BCA">
        <w:rPr>
          <w:rFonts w:ascii="Times New Roman" w:hAnsi="Times New Roman" w:cs="Times New Roman"/>
          <w:sz w:val="24"/>
          <w:szCs w:val="24"/>
        </w:rPr>
        <w:t xml:space="preserve">Estes cursos possuem desempenho ruim nos critérios IDD, Nota do ENADE e Nota de Doutorado. </w:t>
      </w:r>
    </w:p>
    <w:p w:rsidR="00CB2D69" w:rsidRDefault="00CB2D69" w:rsidP="00CB2D6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41BCA" w:rsidRPr="00A22903">
        <w:rPr>
          <w:rFonts w:ascii="Times New Roman" w:hAnsi="Times New Roman" w:cs="Times New Roman"/>
          <w:sz w:val="24"/>
          <w:szCs w:val="24"/>
        </w:rPr>
        <w:t>Os cursos que caíram duas categorias</w:t>
      </w:r>
      <w:r w:rsidR="00D93C77" w:rsidRPr="00A22903">
        <w:rPr>
          <w:rFonts w:ascii="Times New Roman" w:hAnsi="Times New Roman" w:cs="Times New Roman"/>
          <w:sz w:val="24"/>
          <w:szCs w:val="24"/>
        </w:rPr>
        <w:t xml:space="preserve"> totalizaram 19</w:t>
      </w:r>
      <w:r w:rsidR="00541BCA" w:rsidRPr="00A22903">
        <w:rPr>
          <w:rFonts w:ascii="Times New Roman" w:hAnsi="Times New Roman" w:cs="Times New Roman"/>
          <w:sz w:val="24"/>
          <w:szCs w:val="24"/>
        </w:rPr>
        <w:t xml:space="preserve">. Destes 10 caíram do conceito </w:t>
      </w:r>
      <w:proofErr w:type="gramStart"/>
      <w:r w:rsidR="00541BCA" w:rsidRPr="00A22903">
        <w:rPr>
          <w:rFonts w:ascii="Times New Roman" w:hAnsi="Times New Roman" w:cs="Times New Roman"/>
          <w:sz w:val="24"/>
          <w:szCs w:val="24"/>
        </w:rPr>
        <w:t>4</w:t>
      </w:r>
      <w:proofErr w:type="gramEnd"/>
      <w:r w:rsidR="00541BCA" w:rsidRPr="00A22903">
        <w:rPr>
          <w:rFonts w:ascii="Times New Roman" w:hAnsi="Times New Roman" w:cs="Times New Roman"/>
          <w:sz w:val="24"/>
          <w:szCs w:val="24"/>
        </w:rPr>
        <w:t xml:space="preserve"> do CPC para a categoria C2 no CPC, ou seja, passaram de um com conceito no CPC para cursos com desempenho ruim no CPC. </w:t>
      </w:r>
      <w:r w:rsidRPr="00A22903">
        <w:rPr>
          <w:rFonts w:ascii="Times New Roman" w:hAnsi="Times New Roman" w:cs="Times New Roman"/>
          <w:sz w:val="24"/>
          <w:szCs w:val="24"/>
        </w:rPr>
        <w:t>São eles: UPF, UESC, UEG</w:t>
      </w:r>
      <w:r w:rsidR="003F6B52" w:rsidRPr="00A22903">
        <w:rPr>
          <w:rFonts w:ascii="Times New Roman" w:hAnsi="Times New Roman" w:cs="Times New Roman"/>
          <w:sz w:val="24"/>
          <w:szCs w:val="24"/>
        </w:rPr>
        <w:t xml:space="preserve"> (Goiás)</w:t>
      </w:r>
      <w:r w:rsidRPr="00A22903">
        <w:rPr>
          <w:rFonts w:ascii="Times New Roman" w:hAnsi="Times New Roman" w:cs="Times New Roman"/>
          <w:sz w:val="24"/>
          <w:szCs w:val="24"/>
        </w:rPr>
        <w:t>, UNIFEV, UNIMONTES, URI</w:t>
      </w:r>
      <w:r w:rsidR="00B1354A" w:rsidRPr="00A22903">
        <w:rPr>
          <w:rFonts w:ascii="Times New Roman" w:hAnsi="Times New Roman" w:cs="Times New Roman"/>
          <w:sz w:val="24"/>
          <w:szCs w:val="24"/>
        </w:rPr>
        <w:t xml:space="preserve"> (Erechim)</w:t>
      </w:r>
      <w:r w:rsidRPr="00A22903">
        <w:rPr>
          <w:rFonts w:ascii="Times New Roman" w:hAnsi="Times New Roman" w:cs="Times New Roman"/>
          <w:sz w:val="24"/>
          <w:szCs w:val="24"/>
        </w:rPr>
        <w:t xml:space="preserve">, UFRJ, UNOCHAPECÓ, IFSEMG, UNIPAMPA. </w:t>
      </w:r>
      <w:r w:rsidR="00541BCA" w:rsidRPr="00A22903">
        <w:rPr>
          <w:rFonts w:ascii="Times New Roman" w:hAnsi="Times New Roman" w:cs="Times New Roman"/>
          <w:sz w:val="24"/>
          <w:szCs w:val="24"/>
        </w:rPr>
        <w:t>Estes cursos desempenho ruim no critério Nota de Doutorado, que possui peso de 15%. Nos critérios IDD e Nota ENADE os cursos não possuem bom desempenho também.</w:t>
      </w:r>
      <w:r w:rsidR="00D93C77" w:rsidRPr="00A22903">
        <w:rPr>
          <w:rFonts w:ascii="Times New Roman" w:hAnsi="Times New Roman" w:cs="Times New Roman"/>
          <w:sz w:val="24"/>
          <w:szCs w:val="24"/>
        </w:rPr>
        <w:t xml:space="preserve"> Outros </w:t>
      </w:r>
      <w:proofErr w:type="gramStart"/>
      <w:r w:rsidR="00D93C77" w:rsidRPr="00A22903">
        <w:rPr>
          <w:rFonts w:ascii="Times New Roman" w:hAnsi="Times New Roman" w:cs="Times New Roman"/>
          <w:sz w:val="24"/>
          <w:szCs w:val="24"/>
        </w:rPr>
        <w:t>9</w:t>
      </w:r>
      <w:proofErr w:type="gramEnd"/>
      <w:r w:rsidR="00D93C77" w:rsidRPr="00A22903">
        <w:rPr>
          <w:rFonts w:ascii="Times New Roman" w:hAnsi="Times New Roman" w:cs="Times New Roman"/>
          <w:sz w:val="24"/>
          <w:szCs w:val="24"/>
        </w:rPr>
        <w:t xml:space="preserve"> cursos caíram do conceito 3 do CPC para C1 no ELECTRE, categoria que aloca os cursos com pior desempenho e também possuem baixo desempenho principalmente nos critérios citados anteriormente.</w:t>
      </w:r>
      <w:r w:rsidRPr="00A22903">
        <w:rPr>
          <w:rFonts w:ascii="Times New Roman" w:hAnsi="Times New Roman" w:cs="Times New Roman"/>
          <w:sz w:val="24"/>
          <w:szCs w:val="24"/>
        </w:rPr>
        <w:t xml:space="preserve"> São eles: UEG</w:t>
      </w:r>
      <w:r w:rsidR="00B1354A" w:rsidRPr="00A22903">
        <w:rPr>
          <w:rFonts w:ascii="Times New Roman" w:hAnsi="Times New Roman" w:cs="Times New Roman"/>
          <w:sz w:val="24"/>
          <w:szCs w:val="24"/>
        </w:rPr>
        <w:t xml:space="preserve"> (Goiás)</w:t>
      </w:r>
      <w:r w:rsidRPr="00A22903">
        <w:rPr>
          <w:rFonts w:ascii="Times New Roman" w:hAnsi="Times New Roman" w:cs="Times New Roman"/>
          <w:sz w:val="24"/>
          <w:szCs w:val="24"/>
        </w:rPr>
        <w:t>, UERN, UNICSUL, UNICASTELO, FATEMA, UERJ</w:t>
      </w:r>
      <w:r w:rsidR="00B1354A" w:rsidRPr="00A22903">
        <w:rPr>
          <w:rFonts w:ascii="Times New Roman" w:hAnsi="Times New Roman" w:cs="Times New Roman"/>
          <w:sz w:val="24"/>
          <w:szCs w:val="24"/>
        </w:rPr>
        <w:t xml:space="preserve"> (São Gonçalo)</w:t>
      </w:r>
      <w:r w:rsidRPr="00A22903">
        <w:rPr>
          <w:rFonts w:ascii="Times New Roman" w:hAnsi="Times New Roman" w:cs="Times New Roman"/>
          <w:sz w:val="24"/>
          <w:szCs w:val="24"/>
        </w:rPr>
        <w:t>, UFPA</w:t>
      </w:r>
      <w:r w:rsidR="00B1354A" w:rsidRPr="00A22903">
        <w:rPr>
          <w:rFonts w:ascii="Times New Roman" w:hAnsi="Times New Roman" w:cs="Times New Roman"/>
          <w:sz w:val="24"/>
          <w:szCs w:val="24"/>
        </w:rPr>
        <w:t xml:space="preserve"> (Abaetetuba)</w:t>
      </w:r>
      <w:r w:rsidRPr="00A22903">
        <w:rPr>
          <w:rFonts w:ascii="Times New Roman" w:hAnsi="Times New Roman" w:cs="Times New Roman"/>
          <w:sz w:val="24"/>
          <w:szCs w:val="24"/>
        </w:rPr>
        <w:t>, UFJF, IF FLUMINENSE.</w:t>
      </w:r>
      <w:r>
        <w:rPr>
          <w:rFonts w:ascii="Times New Roman" w:hAnsi="Times New Roman" w:cs="Times New Roman"/>
          <w:sz w:val="24"/>
          <w:szCs w:val="24"/>
        </w:rPr>
        <w:t xml:space="preserve"> </w:t>
      </w:r>
    </w:p>
    <w:p w:rsidR="009F0205" w:rsidRDefault="00763721" w:rsidP="009F0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Apenas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cursos conseguiram melhorar suas classificações subindo uma categoria</w:t>
      </w:r>
      <w:r w:rsidR="00CB2D69">
        <w:rPr>
          <w:rFonts w:ascii="Times New Roman" w:hAnsi="Times New Roman" w:cs="Times New Roman"/>
          <w:sz w:val="24"/>
          <w:szCs w:val="24"/>
        </w:rPr>
        <w:t xml:space="preserve">, são eles: </w:t>
      </w:r>
      <w:r w:rsidR="00F7489F">
        <w:rPr>
          <w:rFonts w:ascii="Times New Roman" w:hAnsi="Times New Roman" w:cs="Times New Roman"/>
          <w:sz w:val="24"/>
          <w:szCs w:val="24"/>
        </w:rPr>
        <w:t>UNIFRA que pelo CPC obteve conceito 4 e no ELECTRE é classificado em C5, FIRA classificada com conceito 3 no CPC e no ELECTRE TRI-C é classificada na categoria C4 e FUNEES de Teófilo Otoni que no CPC obteve conceito 2 e no ELECTRE foi alocada em C3</w:t>
      </w:r>
      <w:r>
        <w:rPr>
          <w:rFonts w:ascii="Times New Roman" w:hAnsi="Times New Roman" w:cs="Times New Roman"/>
          <w:sz w:val="24"/>
          <w:szCs w:val="24"/>
        </w:rPr>
        <w:t xml:space="preserve">. </w:t>
      </w:r>
    </w:p>
    <w:p w:rsidR="00DB0BFB" w:rsidRDefault="00DB0BFB" w:rsidP="009F0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quadro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2244D1">
        <w:rPr>
          <w:rFonts w:ascii="Times New Roman" w:hAnsi="Times New Roman" w:cs="Times New Roman"/>
          <w:sz w:val="24"/>
          <w:szCs w:val="24"/>
        </w:rPr>
        <w:t>mostra a avaliação global nos critérios de alguns cursos das IES que sofreram alterações quando aplicada a metodologia proposta neste trabalho.</w:t>
      </w:r>
    </w:p>
    <w:tbl>
      <w:tblPr>
        <w:tblStyle w:val="Tabelacomgrade"/>
        <w:tblW w:w="10043" w:type="dxa"/>
        <w:jc w:val="center"/>
        <w:tblInd w:w="203" w:type="dxa"/>
        <w:tblLook w:val="04A0" w:firstRow="1" w:lastRow="0" w:firstColumn="1" w:lastColumn="0" w:noHBand="0" w:noVBand="1"/>
      </w:tblPr>
      <w:tblGrid>
        <w:gridCol w:w="1292"/>
        <w:gridCol w:w="773"/>
        <w:gridCol w:w="829"/>
        <w:gridCol w:w="829"/>
        <w:gridCol w:w="884"/>
        <w:gridCol w:w="884"/>
        <w:gridCol w:w="884"/>
        <w:gridCol w:w="829"/>
        <w:gridCol w:w="884"/>
        <w:gridCol w:w="1182"/>
        <w:gridCol w:w="773"/>
      </w:tblGrid>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Instituição</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Cr1</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(P=5)</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Cr2</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(P=15)</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Cr3</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(P=35)</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Cr4</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(P=7,5)</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Cr5</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(P=7,5)</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Cr6</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(P=7,5)</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Cr7</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(P=15)</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Cr8</w:t>
            </w:r>
          </w:p>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(P=7,5)</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ELECTRE TRI-C</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CPC</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UFS</w:t>
            </w:r>
            <w:r w:rsidR="00B1354A" w:rsidRPr="00AA024C">
              <w:rPr>
                <w:rFonts w:ascii="Times New Roman" w:eastAsia="Times New Roman" w:hAnsi="Times New Roman" w:cs="Times New Roman"/>
                <w:color w:val="000000"/>
                <w:lang w:eastAsia="pt-BR"/>
              </w:rPr>
              <w:t xml:space="preserve"> (Itabaiana)</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FURG</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UNEB</w:t>
            </w:r>
            <w:r w:rsidR="00B1354A" w:rsidRPr="00AA024C">
              <w:rPr>
                <w:rFonts w:ascii="Times New Roman" w:eastAsia="Times New Roman" w:hAnsi="Times New Roman" w:cs="Times New Roman"/>
                <w:color w:val="000000"/>
                <w:lang w:eastAsia="pt-BR"/>
              </w:rPr>
              <w:t xml:space="preserve"> (Barreiras)</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UEG</w:t>
            </w:r>
            <w:r w:rsidR="00B1354A" w:rsidRPr="00AA024C">
              <w:rPr>
                <w:rFonts w:ascii="Times New Roman" w:eastAsia="Times New Roman" w:hAnsi="Times New Roman" w:cs="Times New Roman"/>
                <w:color w:val="000000"/>
                <w:lang w:eastAsia="pt-BR"/>
              </w:rPr>
              <w:t xml:space="preserve"> (Morrinhos)</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lastRenderedPageBreak/>
              <w:t>UEM</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UNIRP</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UNESA</w:t>
            </w:r>
            <w:r w:rsidR="00B1354A" w:rsidRPr="00AA024C">
              <w:rPr>
                <w:rFonts w:ascii="Times New Roman" w:eastAsia="Times New Roman" w:hAnsi="Times New Roman" w:cs="Times New Roman"/>
                <w:color w:val="000000"/>
                <w:lang w:eastAsia="pt-BR"/>
              </w:rPr>
              <w:t xml:space="preserve"> (Rio de Janeiro)</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UCB</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UNOESTE</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UNISC</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UNIP</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UNIBAN</w:t>
            </w:r>
            <w:r w:rsidR="00B1354A" w:rsidRPr="00AA024C">
              <w:rPr>
                <w:rFonts w:ascii="Times New Roman" w:eastAsia="Times New Roman" w:hAnsi="Times New Roman" w:cs="Times New Roman"/>
                <w:color w:val="000000"/>
                <w:lang w:eastAsia="pt-BR"/>
              </w:rPr>
              <w:t xml:space="preserve"> (São Paulo)</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UFRRJ</w:t>
            </w:r>
            <w:r w:rsidR="00B1354A" w:rsidRPr="00AA024C">
              <w:rPr>
                <w:rFonts w:ascii="Times New Roman" w:eastAsia="Times New Roman" w:hAnsi="Times New Roman" w:cs="Times New Roman"/>
                <w:color w:val="000000"/>
                <w:lang w:eastAsia="pt-BR"/>
              </w:rPr>
              <w:t xml:space="preserve"> (Nova Iguaçu)</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UFPEL</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UNIR</w:t>
            </w:r>
            <w:r w:rsidR="00B1354A" w:rsidRPr="00AA024C">
              <w:rPr>
                <w:rFonts w:ascii="Times New Roman" w:eastAsia="Times New Roman" w:hAnsi="Times New Roman" w:cs="Times New Roman"/>
                <w:color w:val="000000"/>
                <w:lang w:eastAsia="pt-BR"/>
              </w:rPr>
              <w:t xml:space="preserve"> (Porto Velho)</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UNEMAT</w:t>
            </w:r>
            <w:r w:rsidR="00B1354A" w:rsidRPr="00AA024C">
              <w:rPr>
                <w:rFonts w:ascii="Times New Roman" w:eastAsia="Times New Roman" w:hAnsi="Times New Roman" w:cs="Times New Roman"/>
                <w:color w:val="000000"/>
                <w:lang w:eastAsia="pt-BR"/>
              </w:rPr>
              <w:t xml:space="preserve"> (Barra dos Bugres)</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UNEMAT</w:t>
            </w:r>
            <w:r w:rsidR="00B1354A" w:rsidRPr="00AA024C">
              <w:rPr>
                <w:rFonts w:ascii="Times New Roman" w:eastAsia="Times New Roman" w:hAnsi="Times New Roman" w:cs="Times New Roman"/>
                <w:color w:val="000000"/>
                <w:lang w:eastAsia="pt-BR"/>
              </w:rPr>
              <w:t xml:space="preserve"> (Sinop)</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UNIFAP</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1182"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FACIMED</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Bom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hAnsi="Times New Roman" w:cs="Times New Roman"/>
                <w:color w:val="000000"/>
              </w:rPr>
            </w:pPr>
            <w:r w:rsidRPr="00AA024C">
              <w:rPr>
                <w:rFonts w:ascii="Times New Roman" w:hAnsi="Times New Roman" w:cs="Times New Roman"/>
                <w:color w:val="000000"/>
              </w:rPr>
              <w:t>UEPA</w:t>
            </w:r>
            <w:r w:rsidR="00312D5D" w:rsidRPr="00AA024C">
              <w:rPr>
                <w:rFonts w:ascii="Times New Roman" w:hAnsi="Times New Roman" w:cs="Times New Roman"/>
                <w:color w:val="000000"/>
              </w:rPr>
              <w:t xml:space="preserve"> (Conceição do Araguaia)</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Bom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773" w:type="dxa"/>
            <w:noWrap/>
            <w:vAlign w:val="center"/>
            <w:hideMark/>
          </w:tcPr>
          <w:p w:rsidR="008D3551" w:rsidRPr="00AA024C" w:rsidRDefault="00312D5D"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r>
      <w:tr w:rsidR="008D3551" w:rsidRPr="00AA024C" w:rsidTr="005202A4">
        <w:trPr>
          <w:trHeight w:val="300"/>
          <w:jc w:val="center"/>
        </w:trPr>
        <w:tc>
          <w:tcPr>
            <w:tcW w:w="1292" w:type="dxa"/>
            <w:noWrap/>
            <w:vAlign w:val="center"/>
            <w:hideMark/>
          </w:tcPr>
          <w:p w:rsidR="008D3551" w:rsidRPr="00AA024C" w:rsidRDefault="008D3551" w:rsidP="005202A4">
            <w:pPr>
              <w:jc w:val="center"/>
              <w:rPr>
                <w:rFonts w:ascii="Times New Roman" w:hAnsi="Times New Roman" w:cs="Times New Roman"/>
                <w:color w:val="000000"/>
              </w:rPr>
            </w:pPr>
            <w:r w:rsidRPr="00AA024C">
              <w:rPr>
                <w:rFonts w:ascii="Times New Roman" w:hAnsi="Times New Roman" w:cs="Times New Roman"/>
                <w:color w:val="000000"/>
              </w:rPr>
              <w:t>UERN</w:t>
            </w:r>
          </w:p>
        </w:tc>
        <w:tc>
          <w:tcPr>
            <w:tcW w:w="773"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proofErr w:type="spellStart"/>
            <w:r w:rsidRPr="00AA024C">
              <w:rPr>
                <w:rFonts w:ascii="Times New Roman" w:eastAsia="Times New Roman" w:hAnsi="Times New Roman" w:cs="Times New Roman"/>
                <w:color w:val="000000"/>
                <w:lang w:eastAsia="pt-BR"/>
              </w:rPr>
              <w:t>Satisf</w:t>
            </w:r>
            <w:proofErr w:type="spellEnd"/>
            <w:r w:rsidRPr="00AA024C">
              <w:rPr>
                <w:rFonts w:ascii="Times New Roman" w:eastAsia="Times New Roman" w:hAnsi="Times New Roman" w:cs="Times New Roman"/>
                <w:color w:val="000000"/>
                <w:lang w:eastAsia="pt-BR"/>
              </w:rPr>
              <w:t>.</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Ruim</w:t>
            </w:r>
          </w:p>
        </w:tc>
        <w:tc>
          <w:tcPr>
            <w:tcW w:w="829"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884"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1182" w:type="dxa"/>
            <w:noWrap/>
            <w:vAlign w:val="center"/>
            <w:hideMark/>
          </w:tcPr>
          <w:p w:rsidR="008D3551" w:rsidRPr="00AA024C" w:rsidRDefault="008D3551" w:rsidP="005202A4">
            <w:pPr>
              <w:jc w:val="center"/>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Muito Ruim</w:t>
            </w:r>
          </w:p>
        </w:tc>
        <w:tc>
          <w:tcPr>
            <w:tcW w:w="773" w:type="dxa"/>
            <w:noWrap/>
            <w:vAlign w:val="center"/>
            <w:hideMark/>
          </w:tcPr>
          <w:p w:rsidR="008D3551" w:rsidRPr="00AA024C" w:rsidRDefault="00AA024C" w:rsidP="005202A4">
            <w:pPr>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Satisf</w:t>
            </w:r>
            <w:proofErr w:type="spellEnd"/>
            <w:r>
              <w:rPr>
                <w:rFonts w:ascii="Times New Roman" w:eastAsia="Times New Roman" w:hAnsi="Times New Roman" w:cs="Times New Roman"/>
                <w:color w:val="000000"/>
                <w:lang w:eastAsia="pt-BR"/>
              </w:rPr>
              <w:t>.</w:t>
            </w:r>
          </w:p>
        </w:tc>
      </w:tr>
    </w:tbl>
    <w:p w:rsidR="001C2B89" w:rsidRPr="00AA024C" w:rsidRDefault="00AA024C" w:rsidP="00AA024C">
      <w:pPr>
        <w:spacing w:line="360" w:lineRule="auto"/>
        <w:ind w:firstLine="708"/>
        <w:jc w:val="center"/>
        <w:rPr>
          <w:rFonts w:ascii="Times New Roman" w:hAnsi="Times New Roman" w:cs="Times New Roman"/>
        </w:rPr>
      </w:pPr>
      <w:r w:rsidRPr="00AA024C">
        <w:rPr>
          <w:rFonts w:ascii="Times New Roman" w:hAnsi="Times New Roman" w:cs="Times New Roman"/>
        </w:rPr>
        <w:t xml:space="preserve">Quadro 1- Avaliação global nos critérios de alguns cursos das IES </w:t>
      </w:r>
      <w:r>
        <w:rPr>
          <w:rFonts w:ascii="Times New Roman" w:hAnsi="Times New Roman" w:cs="Times New Roman"/>
        </w:rPr>
        <w:t>que sofreram alterações</w:t>
      </w:r>
      <w:r w:rsidRPr="00AA024C">
        <w:rPr>
          <w:rFonts w:ascii="Times New Roman" w:hAnsi="Times New Roman" w:cs="Times New Roman"/>
        </w:rPr>
        <w:t xml:space="preserve"> </w:t>
      </w:r>
      <w:r>
        <w:rPr>
          <w:rFonts w:ascii="Times New Roman" w:hAnsi="Times New Roman" w:cs="Times New Roman"/>
        </w:rPr>
        <w:t>com a aplicação d</w:t>
      </w:r>
      <w:r w:rsidRPr="00AA024C">
        <w:rPr>
          <w:rFonts w:ascii="Times New Roman" w:hAnsi="Times New Roman" w:cs="Times New Roman"/>
        </w:rPr>
        <w:t xml:space="preserve">o método </w:t>
      </w:r>
      <w:r>
        <w:rPr>
          <w:rFonts w:ascii="Times New Roman" w:hAnsi="Times New Roman" w:cs="Times New Roman"/>
        </w:rPr>
        <w:t>ELECTRE TRI-C.</w:t>
      </w:r>
    </w:p>
    <w:p w:rsidR="001C2B89" w:rsidRDefault="001C2B89" w:rsidP="001F2E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quadro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observa-se a avaliação de alguns cursos de licenciatura em matemática que sofr</w:t>
      </w:r>
      <w:r w:rsidR="007211F0">
        <w:rPr>
          <w:rFonts w:ascii="Times New Roman" w:hAnsi="Times New Roman" w:cs="Times New Roman"/>
          <w:sz w:val="24"/>
          <w:szCs w:val="24"/>
        </w:rPr>
        <w:t xml:space="preserve">eram alteração na classificação. O curso </w:t>
      </w:r>
      <w:r w:rsidR="00DF42C0">
        <w:rPr>
          <w:rFonts w:ascii="Times New Roman" w:hAnsi="Times New Roman" w:cs="Times New Roman"/>
          <w:sz w:val="24"/>
          <w:szCs w:val="24"/>
        </w:rPr>
        <w:t>da UFS (Itabaiana) possui conceito satisfatório em</w:t>
      </w:r>
      <w:r w:rsidR="00606E8E">
        <w:rPr>
          <w:rFonts w:ascii="Times New Roman" w:hAnsi="Times New Roman" w:cs="Times New Roman"/>
          <w:sz w:val="24"/>
          <w:szCs w:val="24"/>
        </w:rPr>
        <w:t xml:space="preserve"> cinco</w:t>
      </w:r>
      <w:r w:rsidR="00DF42C0">
        <w:rPr>
          <w:rFonts w:ascii="Times New Roman" w:hAnsi="Times New Roman" w:cs="Times New Roman"/>
          <w:sz w:val="24"/>
          <w:szCs w:val="24"/>
        </w:rPr>
        <w:t xml:space="preserve"> critérios que somam 77,5% do peso. Segundo o ELECTRE TRI-C o curso possui conceito satisfatório, já segundo o CPC o curso possui Conceito </w:t>
      </w:r>
      <w:proofErr w:type="gramStart"/>
      <w:r w:rsidR="00DF42C0">
        <w:rPr>
          <w:rFonts w:ascii="Times New Roman" w:hAnsi="Times New Roman" w:cs="Times New Roman"/>
          <w:sz w:val="24"/>
          <w:szCs w:val="24"/>
        </w:rPr>
        <w:t>4</w:t>
      </w:r>
      <w:proofErr w:type="gramEnd"/>
      <w:r w:rsidR="00DF42C0">
        <w:rPr>
          <w:rFonts w:ascii="Times New Roman" w:hAnsi="Times New Roman" w:cs="Times New Roman"/>
          <w:sz w:val="24"/>
          <w:szCs w:val="24"/>
        </w:rPr>
        <w:t xml:space="preserve"> que está associado a cursos com bom conceito.  O curso da UEG (Morrinhos) é classificado com </w:t>
      </w:r>
      <w:r w:rsidR="00DF42C0">
        <w:rPr>
          <w:rFonts w:ascii="Times New Roman" w:hAnsi="Times New Roman" w:cs="Times New Roman"/>
          <w:sz w:val="24"/>
          <w:szCs w:val="24"/>
        </w:rPr>
        <w:lastRenderedPageBreak/>
        <w:t xml:space="preserve">conceito </w:t>
      </w:r>
      <w:proofErr w:type="gramStart"/>
      <w:r w:rsidR="00DF42C0">
        <w:rPr>
          <w:rFonts w:ascii="Times New Roman" w:hAnsi="Times New Roman" w:cs="Times New Roman"/>
          <w:sz w:val="24"/>
          <w:szCs w:val="24"/>
        </w:rPr>
        <w:t>3</w:t>
      </w:r>
      <w:proofErr w:type="gramEnd"/>
      <w:r w:rsidR="00DF42C0">
        <w:rPr>
          <w:rFonts w:ascii="Times New Roman" w:hAnsi="Times New Roman" w:cs="Times New Roman"/>
          <w:sz w:val="24"/>
          <w:szCs w:val="24"/>
        </w:rPr>
        <w:t xml:space="preserve"> pelo CPC</w:t>
      </w:r>
      <w:r w:rsidR="00606E8E">
        <w:rPr>
          <w:rFonts w:ascii="Times New Roman" w:hAnsi="Times New Roman" w:cs="Times New Roman"/>
          <w:sz w:val="24"/>
          <w:szCs w:val="24"/>
        </w:rPr>
        <w:t xml:space="preserve"> e pelo ELECTRE TRI-C ele é alocado na categoria C2 que representa cursos com conceito ruim. Ao observar a classificação global tem-se que para dois critérios: Conhecimento Geral-</w:t>
      </w:r>
      <w:proofErr w:type="spellStart"/>
      <w:r w:rsidR="00606E8E">
        <w:rPr>
          <w:rFonts w:ascii="Times New Roman" w:hAnsi="Times New Roman" w:cs="Times New Roman"/>
          <w:sz w:val="24"/>
          <w:szCs w:val="24"/>
        </w:rPr>
        <w:t>Enade</w:t>
      </w:r>
      <w:proofErr w:type="spellEnd"/>
      <w:r w:rsidR="00606E8E">
        <w:rPr>
          <w:rFonts w:ascii="Times New Roman" w:hAnsi="Times New Roman" w:cs="Times New Roman"/>
          <w:sz w:val="24"/>
          <w:szCs w:val="24"/>
        </w:rPr>
        <w:t xml:space="preserve"> e Proporção de Respostas sobre plano de Ensino o desempenho do curso é considerado ruim, e em outros dois critérios: Nota de Mestrado e Nota de Doutorado possui desempenho muito ruim segundo a abordagem do ELECTRE. A soma do peso nesses critérios é de 45%</w:t>
      </w:r>
      <w:r w:rsidR="00097A75">
        <w:rPr>
          <w:rFonts w:ascii="Times New Roman" w:hAnsi="Times New Roman" w:cs="Times New Roman"/>
          <w:sz w:val="24"/>
          <w:szCs w:val="24"/>
        </w:rPr>
        <w:t>.</w:t>
      </w:r>
      <w:r w:rsidR="00690F2E">
        <w:rPr>
          <w:rFonts w:ascii="Times New Roman" w:hAnsi="Times New Roman" w:cs="Times New Roman"/>
          <w:sz w:val="24"/>
          <w:szCs w:val="24"/>
        </w:rPr>
        <w:t xml:space="preserve"> A UNIRP é classificada com conceito satisfatório no ELECTRE TRI-C, ou seja, é alocada na categoria C3 enquanto que pelo CPC ele é classificada como um curso bom, com conceito C4. Esse curso possui na sua avaliação global pelo ELECTRE conceito satisfatório em quatro critérios e ruim e um critério, que somam 77,5% da nota total, por isso o curso é alocado em C3. O curso da UFRRJ (Nova Iguaçu) </w:t>
      </w:r>
      <w:r w:rsidR="00E27599">
        <w:rPr>
          <w:rFonts w:ascii="Times New Roman" w:hAnsi="Times New Roman" w:cs="Times New Roman"/>
          <w:sz w:val="24"/>
          <w:szCs w:val="24"/>
        </w:rPr>
        <w:t xml:space="preserve">é classificado com conceito </w:t>
      </w:r>
      <w:proofErr w:type="gramStart"/>
      <w:r w:rsidR="00E27599">
        <w:rPr>
          <w:rFonts w:ascii="Times New Roman" w:hAnsi="Times New Roman" w:cs="Times New Roman"/>
          <w:sz w:val="24"/>
          <w:szCs w:val="24"/>
        </w:rPr>
        <w:t>4</w:t>
      </w:r>
      <w:proofErr w:type="gramEnd"/>
      <w:r w:rsidR="00E27599">
        <w:rPr>
          <w:rFonts w:ascii="Times New Roman" w:hAnsi="Times New Roman" w:cs="Times New Roman"/>
          <w:sz w:val="24"/>
          <w:szCs w:val="24"/>
        </w:rPr>
        <w:t xml:space="preserve"> pelo CPC, o que representa que o curso é bom. Já pelo ELECTRE TRI-C esse curso cai uma posição e é classificado com conceito satisfatório. Fato este que se justifica pela avaliação global onde em cinco critérios, 70% do peso total, a avaliação é satisfatória, ruim ou muito ruim. </w:t>
      </w:r>
    </w:p>
    <w:p w:rsidR="00612B8D" w:rsidRDefault="00D522DF" w:rsidP="001F2E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a utilização dos métodos multicritérios, mais especificamente o método ELECTRE TRI-C, alguns problemas </w:t>
      </w:r>
      <w:r w:rsidR="00012988">
        <w:rPr>
          <w:rFonts w:ascii="Times New Roman" w:hAnsi="Times New Roman" w:cs="Times New Roman"/>
          <w:sz w:val="24"/>
          <w:szCs w:val="24"/>
        </w:rPr>
        <w:t xml:space="preserve">que vem sendo alvo de críticas no atual CPC </w:t>
      </w:r>
      <w:r>
        <w:rPr>
          <w:rFonts w:ascii="Times New Roman" w:hAnsi="Times New Roman" w:cs="Times New Roman"/>
          <w:sz w:val="24"/>
          <w:szCs w:val="24"/>
        </w:rPr>
        <w:t>como</w:t>
      </w:r>
      <w:r w:rsidR="00012988">
        <w:rPr>
          <w:rFonts w:ascii="Times New Roman" w:hAnsi="Times New Roman" w:cs="Times New Roman"/>
          <w:sz w:val="24"/>
          <w:szCs w:val="24"/>
        </w:rPr>
        <w:t xml:space="preserve"> a compensatoriedade, as transformações e padronizações nos desempenhos dos cursos de graduação são </w:t>
      </w:r>
      <w:r w:rsidR="00455422">
        <w:rPr>
          <w:rFonts w:ascii="Times New Roman" w:hAnsi="Times New Roman" w:cs="Times New Roman"/>
          <w:sz w:val="24"/>
          <w:szCs w:val="24"/>
        </w:rPr>
        <w:t>minimizados</w:t>
      </w:r>
      <w:r w:rsidR="00012988">
        <w:rPr>
          <w:rFonts w:ascii="Times New Roman" w:hAnsi="Times New Roman" w:cs="Times New Roman"/>
          <w:sz w:val="24"/>
          <w:szCs w:val="24"/>
        </w:rPr>
        <w:t xml:space="preserve">. O ELECTRE TRI-C é um método desenvolvido para resolver problemas de classificação, </w:t>
      </w:r>
      <w:r w:rsidR="00280142">
        <w:rPr>
          <w:rFonts w:ascii="Times New Roman" w:hAnsi="Times New Roman" w:cs="Times New Roman"/>
          <w:sz w:val="24"/>
          <w:szCs w:val="24"/>
        </w:rPr>
        <w:t xml:space="preserve">não é </w:t>
      </w:r>
      <w:proofErr w:type="gramStart"/>
      <w:r w:rsidR="00280142">
        <w:rPr>
          <w:rFonts w:ascii="Times New Roman" w:hAnsi="Times New Roman" w:cs="Times New Roman"/>
          <w:sz w:val="24"/>
          <w:szCs w:val="24"/>
        </w:rPr>
        <w:t>necessária</w:t>
      </w:r>
      <w:proofErr w:type="gramEnd"/>
      <w:r w:rsidR="00280142">
        <w:rPr>
          <w:rFonts w:ascii="Times New Roman" w:hAnsi="Times New Roman" w:cs="Times New Roman"/>
          <w:sz w:val="24"/>
          <w:szCs w:val="24"/>
        </w:rPr>
        <w:t xml:space="preserve"> a</w:t>
      </w:r>
      <w:r w:rsidR="00012988">
        <w:rPr>
          <w:rFonts w:ascii="Times New Roman" w:hAnsi="Times New Roman" w:cs="Times New Roman"/>
          <w:sz w:val="24"/>
          <w:szCs w:val="24"/>
        </w:rPr>
        <w:t xml:space="preserve"> </w:t>
      </w:r>
      <w:r w:rsidR="00280142">
        <w:rPr>
          <w:rFonts w:ascii="Times New Roman" w:hAnsi="Times New Roman" w:cs="Times New Roman"/>
          <w:sz w:val="24"/>
          <w:szCs w:val="24"/>
        </w:rPr>
        <w:t xml:space="preserve">transformação ou padronização dos desempenhos dos cursos, fato este que pode gerar distorções e dificuldades de interpretação dos resultados da classificação. </w:t>
      </w:r>
    </w:p>
    <w:p w:rsidR="00B44006" w:rsidRDefault="00280142" w:rsidP="001F2E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vantagem do </w:t>
      </w:r>
      <w:r w:rsidR="00270FF9">
        <w:rPr>
          <w:rFonts w:ascii="Times New Roman" w:hAnsi="Times New Roman" w:cs="Times New Roman"/>
          <w:sz w:val="24"/>
          <w:szCs w:val="24"/>
        </w:rPr>
        <w:t xml:space="preserve">método é que através dele o </w:t>
      </w:r>
      <w:proofErr w:type="spellStart"/>
      <w:r w:rsidR="00270FF9">
        <w:rPr>
          <w:rFonts w:ascii="Times New Roman" w:hAnsi="Times New Roman" w:cs="Times New Roman"/>
          <w:sz w:val="24"/>
          <w:szCs w:val="24"/>
        </w:rPr>
        <w:t>decisor</w:t>
      </w:r>
      <w:proofErr w:type="spellEnd"/>
      <w:r w:rsidR="00270FF9">
        <w:rPr>
          <w:rFonts w:ascii="Times New Roman" w:hAnsi="Times New Roman" w:cs="Times New Roman"/>
          <w:sz w:val="24"/>
          <w:szCs w:val="24"/>
        </w:rPr>
        <w:t xml:space="preserve"> pode incorporar a subjetividade que o processo de avaliação está sujeito. A avaliação dos desempenhos dos cursos, os critérios utilizados, todas as definições são subjetivas e difíceis de mensurar requerendo muito conhecimento da problemática para se tomar as decisões. Através de seus parâmetros, o ELECTRE TRI-C permite a incorporação das subjetividades enriquecendo o processo avaliativo.</w:t>
      </w:r>
    </w:p>
    <w:p w:rsidR="00612B8D" w:rsidRDefault="00B44006" w:rsidP="001F2E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das críticas inerentes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utilização</w:t>
      </w:r>
      <w:r w:rsidR="00612B8D">
        <w:rPr>
          <w:rFonts w:ascii="Times New Roman" w:hAnsi="Times New Roman" w:cs="Times New Roman"/>
          <w:sz w:val="24"/>
          <w:szCs w:val="24"/>
        </w:rPr>
        <w:t xml:space="preserve"> </w:t>
      </w:r>
      <w:r>
        <w:rPr>
          <w:rFonts w:ascii="Times New Roman" w:hAnsi="Times New Roman" w:cs="Times New Roman"/>
          <w:sz w:val="24"/>
          <w:szCs w:val="24"/>
        </w:rPr>
        <w:t>d</w:t>
      </w:r>
      <w:r w:rsidR="00612B8D">
        <w:rPr>
          <w:rFonts w:ascii="Times New Roman" w:hAnsi="Times New Roman" w:cs="Times New Roman"/>
          <w:sz w:val="24"/>
          <w:szCs w:val="24"/>
        </w:rPr>
        <w:t xml:space="preserve">os métodos multicritérios de tomada de decisão </w:t>
      </w:r>
      <w:r>
        <w:rPr>
          <w:rFonts w:ascii="Times New Roman" w:hAnsi="Times New Roman" w:cs="Times New Roman"/>
          <w:sz w:val="24"/>
          <w:szCs w:val="24"/>
        </w:rPr>
        <w:t xml:space="preserve">é </w:t>
      </w:r>
      <w:r w:rsidR="00455422">
        <w:rPr>
          <w:rFonts w:ascii="Times New Roman" w:hAnsi="Times New Roman" w:cs="Times New Roman"/>
          <w:sz w:val="24"/>
          <w:szCs w:val="24"/>
        </w:rPr>
        <w:t>justamente essa subjetividade, que está presente n</w:t>
      </w:r>
      <w:r>
        <w:rPr>
          <w:rFonts w:ascii="Times New Roman" w:hAnsi="Times New Roman" w:cs="Times New Roman"/>
          <w:sz w:val="24"/>
          <w:szCs w:val="24"/>
        </w:rPr>
        <w:t>a</w:t>
      </w:r>
      <w:r w:rsidR="00612B8D">
        <w:rPr>
          <w:rFonts w:ascii="Times New Roman" w:hAnsi="Times New Roman" w:cs="Times New Roman"/>
          <w:sz w:val="24"/>
          <w:szCs w:val="24"/>
        </w:rPr>
        <w:t xml:space="preserve"> definição de alguns parâmetros </w:t>
      </w:r>
      <w:r w:rsidR="00455422">
        <w:rPr>
          <w:rFonts w:ascii="Times New Roman" w:hAnsi="Times New Roman" w:cs="Times New Roman"/>
          <w:sz w:val="24"/>
          <w:szCs w:val="24"/>
        </w:rPr>
        <w:t>d</w:t>
      </w:r>
      <w:r w:rsidR="00612B8D">
        <w:rPr>
          <w:rFonts w:ascii="Times New Roman" w:hAnsi="Times New Roman" w:cs="Times New Roman"/>
          <w:sz w:val="24"/>
          <w:szCs w:val="24"/>
        </w:rPr>
        <w:t>o método</w:t>
      </w:r>
      <w:r w:rsidR="00455422">
        <w:rPr>
          <w:rFonts w:ascii="Times New Roman" w:hAnsi="Times New Roman" w:cs="Times New Roman"/>
          <w:sz w:val="24"/>
          <w:szCs w:val="24"/>
        </w:rPr>
        <w:t>. O</w:t>
      </w:r>
      <w:r w:rsidR="00612B8D">
        <w:rPr>
          <w:rFonts w:ascii="Times New Roman" w:hAnsi="Times New Roman" w:cs="Times New Roman"/>
          <w:sz w:val="24"/>
          <w:szCs w:val="24"/>
        </w:rPr>
        <w:t xml:space="preserve"> </w:t>
      </w:r>
      <w:proofErr w:type="spellStart"/>
      <w:r w:rsidR="00612B8D">
        <w:rPr>
          <w:rFonts w:ascii="Times New Roman" w:hAnsi="Times New Roman" w:cs="Times New Roman"/>
          <w:sz w:val="24"/>
          <w:szCs w:val="24"/>
        </w:rPr>
        <w:t>decisor</w:t>
      </w:r>
      <w:proofErr w:type="spellEnd"/>
      <w:r w:rsidR="00612B8D">
        <w:rPr>
          <w:rFonts w:ascii="Times New Roman" w:hAnsi="Times New Roman" w:cs="Times New Roman"/>
          <w:sz w:val="24"/>
          <w:szCs w:val="24"/>
        </w:rPr>
        <w:t xml:space="preserve">, pessoa que estudou e conhece o problema e todas as discussões envolvidas, é quem define esses parâmetros. Porém, toda avaliação parte de uma concepção </w:t>
      </w:r>
      <w:r w:rsidR="00612B8D">
        <w:rPr>
          <w:rFonts w:ascii="Times New Roman" w:hAnsi="Times New Roman" w:cs="Times New Roman"/>
          <w:sz w:val="24"/>
          <w:szCs w:val="24"/>
        </w:rPr>
        <w:lastRenderedPageBreak/>
        <w:t>de qualidade que um grupo define como sendo apropriada para conceituar algo</w:t>
      </w:r>
      <w:r>
        <w:rPr>
          <w:rFonts w:ascii="Times New Roman" w:hAnsi="Times New Roman" w:cs="Times New Roman"/>
          <w:sz w:val="24"/>
          <w:szCs w:val="24"/>
        </w:rPr>
        <w:t xml:space="preserve">. Assim, a definição dos parâmetros por um </w:t>
      </w:r>
      <w:proofErr w:type="spellStart"/>
      <w:r>
        <w:rPr>
          <w:rFonts w:ascii="Times New Roman" w:hAnsi="Times New Roman" w:cs="Times New Roman"/>
          <w:sz w:val="24"/>
          <w:szCs w:val="24"/>
        </w:rPr>
        <w:t>decisor</w:t>
      </w:r>
      <w:proofErr w:type="spellEnd"/>
      <w:r>
        <w:rPr>
          <w:rFonts w:ascii="Times New Roman" w:hAnsi="Times New Roman" w:cs="Times New Roman"/>
          <w:sz w:val="24"/>
          <w:szCs w:val="24"/>
        </w:rPr>
        <w:t xml:space="preserve"> ou em outros casos um grupo de </w:t>
      </w:r>
      <w:proofErr w:type="spellStart"/>
      <w:r>
        <w:rPr>
          <w:rFonts w:ascii="Times New Roman" w:hAnsi="Times New Roman" w:cs="Times New Roman"/>
          <w:sz w:val="24"/>
          <w:szCs w:val="24"/>
        </w:rPr>
        <w:t>decisores</w:t>
      </w:r>
      <w:proofErr w:type="spellEnd"/>
      <w:r>
        <w:rPr>
          <w:rFonts w:ascii="Times New Roman" w:hAnsi="Times New Roman" w:cs="Times New Roman"/>
          <w:sz w:val="24"/>
          <w:szCs w:val="24"/>
        </w:rPr>
        <w:t xml:space="preserve"> especialistas em determinado assunto é justificado.</w:t>
      </w:r>
    </w:p>
    <w:p w:rsidR="00012988" w:rsidRDefault="008A4FA9" w:rsidP="008A4F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esta metodologia os cursos e as IES teriam de melhorar seus desempenhos nos critérios estabelecidos atualmente para conseguir conceitos bons e satisfatórios visto que a metodologia do ELECTRE TRI-C se mostrou mais exigente que a do atual CPC. </w:t>
      </w:r>
      <w:proofErr w:type="gramStart"/>
      <w:r>
        <w:rPr>
          <w:rFonts w:ascii="Times New Roman" w:hAnsi="Times New Roman" w:cs="Times New Roman"/>
          <w:sz w:val="24"/>
          <w:szCs w:val="24"/>
        </w:rPr>
        <w:t>Essa fato</w:t>
      </w:r>
      <w:proofErr w:type="gramEnd"/>
      <w:r>
        <w:rPr>
          <w:rFonts w:ascii="Times New Roman" w:hAnsi="Times New Roman" w:cs="Times New Roman"/>
          <w:sz w:val="24"/>
          <w:szCs w:val="24"/>
        </w:rPr>
        <w:t xml:space="preserve"> é um ponto negativo para a adesão das IES, pois despenderia uma grande mobilização delas uma vez que 135 cursos </w:t>
      </w:r>
      <w:r w:rsidR="00416D43">
        <w:rPr>
          <w:rFonts w:ascii="Times New Roman" w:hAnsi="Times New Roman" w:cs="Times New Roman"/>
          <w:sz w:val="24"/>
          <w:szCs w:val="24"/>
        </w:rPr>
        <w:t>(50,7</w:t>
      </w:r>
      <w:r>
        <w:rPr>
          <w:rFonts w:ascii="Times New Roman" w:hAnsi="Times New Roman" w:cs="Times New Roman"/>
          <w:sz w:val="24"/>
          <w:szCs w:val="24"/>
        </w:rPr>
        <w:t>5%) tiveram piora em seus resultados quando comparados com o CPC.</w:t>
      </w:r>
      <w:r w:rsidR="00455422">
        <w:rPr>
          <w:rFonts w:ascii="Times New Roman" w:hAnsi="Times New Roman" w:cs="Times New Roman"/>
          <w:sz w:val="24"/>
          <w:szCs w:val="24"/>
        </w:rPr>
        <w:t xml:space="preserve"> Porém, por </w:t>
      </w:r>
      <w:proofErr w:type="gramStart"/>
      <w:r w:rsidR="00455422">
        <w:rPr>
          <w:rFonts w:ascii="Times New Roman" w:hAnsi="Times New Roman" w:cs="Times New Roman"/>
          <w:sz w:val="24"/>
          <w:szCs w:val="24"/>
        </w:rPr>
        <w:t>ser</w:t>
      </w:r>
      <w:proofErr w:type="gramEnd"/>
      <w:r w:rsidR="00455422">
        <w:rPr>
          <w:rFonts w:ascii="Times New Roman" w:hAnsi="Times New Roman" w:cs="Times New Roman"/>
          <w:sz w:val="24"/>
          <w:szCs w:val="24"/>
        </w:rPr>
        <w:t xml:space="preserve"> mais exigente os cursos teriam que se mobilizar e melhorar alguns aspectos considerados na avaliação o que geraria uma consequente melhora na qualidade dos cursos de licenciatura em matemática brasileiros.</w:t>
      </w:r>
    </w:p>
    <w:p w:rsidR="00900AAB" w:rsidRPr="00900AAB" w:rsidRDefault="00900AAB" w:rsidP="00900AAB">
      <w:pPr>
        <w:spacing w:line="360" w:lineRule="auto"/>
        <w:jc w:val="both"/>
        <w:rPr>
          <w:rFonts w:ascii="Times New Roman" w:eastAsiaTheme="minorEastAsia" w:hAnsi="Times New Roman" w:cs="Times New Roman"/>
          <w:b/>
          <w:sz w:val="24"/>
          <w:szCs w:val="24"/>
        </w:rPr>
      </w:pPr>
      <w:proofErr w:type="gramStart"/>
      <w:r w:rsidRPr="00900AAB">
        <w:rPr>
          <w:rFonts w:ascii="Times New Roman" w:eastAsiaTheme="minorEastAsia" w:hAnsi="Times New Roman" w:cs="Times New Roman"/>
          <w:b/>
          <w:sz w:val="24"/>
          <w:szCs w:val="24"/>
        </w:rPr>
        <w:t>6.1 Análise</w:t>
      </w:r>
      <w:proofErr w:type="gramEnd"/>
      <w:r w:rsidRPr="00900AAB">
        <w:rPr>
          <w:rFonts w:ascii="Times New Roman" w:eastAsiaTheme="minorEastAsia" w:hAnsi="Times New Roman" w:cs="Times New Roman"/>
          <w:b/>
          <w:sz w:val="24"/>
          <w:szCs w:val="24"/>
        </w:rPr>
        <w:t xml:space="preserve"> de sensibilidade do modelo</w:t>
      </w:r>
    </w:p>
    <w:p w:rsidR="005F11FF" w:rsidRPr="00B45B0F" w:rsidRDefault="001F2EE7" w:rsidP="005F11FF">
      <w:pPr>
        <w:spacing w:line="360" w:lineRule="auto"/>
        <w:ind w:firstLine="708"/>
        <w:jc w:val="both"/>
        <w:rPr>
          <w:rFonts w:ascii="Times New Roman" w:hAnsi="Times New Roman" w:cs="Times New Roman"/>
          <w:sz w:val="24"/>
          <w:szCs w:val="24"/>
        </w:rPr>
      </w:pPr>
      <w:r w:rsidRPr="00892E62">
        <w:rPr>
          <w:rFonts w:ascii="Times New Roman" w:eastAsiaTheme="minorEastAsia" w:hAnsi="Times New Roman" w:cs="Times New Roman"/>
          <w:sz w:val="24"/>
          <w:szCs w:val="24"/>
        </w:rPr>
        <w:t xml:space="preserve">Foi feita também </w:t>
      </w:r>
      <w:r>
        <w:rPr>
          <w:rFonts w:ascii="Times New Roman" w:eastAsiaTheme="minorEastAsia" w:hAnsi="Times New Roman" w:cs="Times New Roman"/>
          <w:sz w:val="24"/>
          <w:szCs w:val="24"/>
        </w:rPr>
        <w:t>uma aná</w:t>
      </w:r>
      <w:r w:rsidRPr="00892E62">
        <w:rPr>
          <w:rFonts w:ascii="Times New Roman" w:eastAsiaTheme="minorEastAsia" w:hAnsi="Times New Roman" w:cs="Times New Roman"/>
          <w:sz w:val="24"/>
          <w:szCs w:val="24"/>
        </w:rPr>
        <w:t>lise de sensibilidade</w:t>
      </w:r>
      <w:r>
        <w:rPr>
          <w:rFonts w:ascii="Times New Roman" w:eastAsiaTheme="minorEastAsia" w:hAnsi="Times New Roman" w:cs="Times New Roman"/>
          <w:sz w:val="24"/>
          <w:szCs w:val="24"/>
        </w:rPr>
        <w:t xml:space="preserve"> no modelo</w:t>
      </w:r>
      <w:r w:rsidRPr="00892E62">
        <w:rPr>
          <w:rFonts w:ascii="Times New Roman" w:eastAsiaTheme="minorEastAsia" w:hAnsi="Times New Roman" w:cs="Times New Roman"/>
          <w:sz w:val="24"/>
          <w:szCs w:val="24"/>
        </w:rPr>
        <w:t xml:space="preserve"> do nível de credibilidade e dos limiares </w:t>
      </w:r>
      <m:oMath>
        <m:r>
          <w:rPr>
            <w:rFonts w:ascii="Cambria Math" w:eastAsiaTheme="minorEastAsia" w:hAnsi="Cambria Math" w:cs="Times New Roman"/>
            <w:sz w:val="24"/>
            <w:szCs w:val="24"/>
          </w:rPr>
          <m:t>p</m:t>
        </m:r>
      </m:oMath>
      <w:r w:rsidRPr="00892E62">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q</m:t>
        </m:r>
      </m:oMath>
      <w:r w:rsidRPr="00892E62">
        <w:rPr>
          <w:rFonts w:ascii="Times New Roman" w:eastAsiaTheme="minorEastAsia" w:hAnsi="Times New Roman" w:cs="Times New Roman"/>
          <w:sz w:val="24"/>
          <w:szCs w:val="24"/>
        </w:rPr>
        <w:t xml:space="preserve">. </w:t>
      </w:r>
      <w:r w:rsidR="005F11FF">
        <w:rPr>
          <w:rFonts w:ascii="Times New Roman" w:eastAsiaTheme="minorEastAsia" w:hAnsi="Times New Roman" w:cs="Times New Roman"/>
          <w:sz w:val="24"/>
          <w:szCs w:val="24"/>
        </w:rPr>
        <w:t>O</w:t>
      </w:r>
      <w:r w:rsidR="005F11FF" w:rsidRPr="00892E62">
        <w:rPr>
          <w:rFonts w:ascii="Times New Roman" w:eastAsiaTheme="minorEastAsia" w:hAnsi="Times New Roman" w:cs="Times New Roman"/>
          <w:sz w:val="24"/>
          <w:szCs w:val="24"/>
        </w:rPr>
        <w:t xml:space="preserve">s parâmetros </w:t>
      </w:r>
      <m:oMath>
        <m:r>
          <w:rPr>
            <w:rFonts w:ascii="Cambria Math" w:eastAsiaTheme="minorEastAsia" w:hAnsi="Cambria Math" w:cs="Times New Roman"/>
            <w:sz w:val="24"/>
            <w:szCs w:val="24"/>
          </w:rPr>
          <m:t>p</m:t>
        </m:r>
      </m:oMath>
      <w:r w:rsidR="005F11FF" w:rsidRPr="00892E62">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q</m:t>
        </m:r>
      </m:oMath>
      <w:r w:rsidR="005F11FF" w:rsidRPr="00892E62">
        <w:rPr>
          <w:rFonts w:ascii="Times New Roman" w:eastAsiaTheme="minorEastAsia" w:hAnsi="Times New Roman" w:cs="Times New Roman"/>
          <w:sz w:val="24"/>
          <w:szCs w:val="24"/>
        </w:rPr>
        <w:t xml:space="preserve"> foram variados 5% e 10% a mais e amenos. Essa variação não alterou as classificações dos curso</w:t>
      </w:r>
      <w:r w:rsidR="005F11FF">
        <w:rPr>
          <w:rFonts w:ascii="Times New Roman" w:eastAsiaTheme="minorEastAsia" w:hAnsi="Times New Roman" w:cs="Times New Roman"/>
          <w:sz w:val="24"/>
          <w:szCs w:val="24"/>
        </w:rPr>
        <w:t>s.</w:t>
      </w:r>
    </w:p>
    <w:p w:rsidR="00D93C77" w:rsidRDefault="001F2EE7" w:rsidP="001F2EE7">
      <w:pPr>
        <w:spacing w:line="360" w:lineRule="auto"/>
        <w:ind w:firstLine="708"/>
        <w:jc w:val="both"/>
        <w:rPr>
          <w:rFonts w:ascii="Times New Roman" w:eastAsiaTheme="minorEastAsia" w:hAnsi="Times New Roman" w:cs="Times New Roman"/>
          <w:sz w:val="24"/>
          <w:szCs w:val="24"/>
        </w:rPr>
      </w:pPr>
      <w:r w:rsidRPr="00892E62">
        <w:rPr>
          <w:rFonts w:ascii="Times New Roman" w:eastAsiaTheme="minorEastAsia" w:hAnsi="Times New Roman" w:cs="Times New Roman"/>
          <w:sz w:val="24"/>
          <w:szCs w:val="24"/>
        </w:rPr>
        <w:t xml:space="preserve">A tabela </w:t>
      </w:r>
      <w:r>
        <w:rPr>
          <w:rFonts w:ascii="Times New Roman" w:eastAsiaTheme="minorEastAsia" w:hAnsi="Times New Roman" w:cs="Times New Roman"/>
          <w:sz w:val="24"/>
          <w:szCs w:val="24"/>
        </w:rPr>
        <w:t>6</w:t>
      </w:r>
      <w:r w:rsidRPr="00892E62">
        <w:rPr>
          <w:rFonts w:ascii="Times New Roman" w:eastAsiaTheme="minorEastAsia" w:hAnsi="Times New Roman" w:cs="Times New Roman"/>
          <w:sz w:val="24"/>
          <w:szCs w:val="24"/>
        </w:rPr>
        <w:t xml:space="preserve"> mostra como ficou a distribuição dos cursos </w:t>
      </w:r>
      <w:r>
        <w:rPr>
          <w:rFonts w:ascii="Times New Roman" w:eastAsiaTheme="minorEastAsia" w:hAnsi="Times New Roman" w:cs="Times New Roman"/>
          <w:sz w:val="24"/>
          <w:szCs w:val="24"/>
        </w:rPr>
        <w:t>de licenciatura em m</w:t>
      </w:r>
      <w:r w:rsidRPr="00892E62">
        <w:rPr>
          <w:rFonts w:ascii="Times New Roman" w:eastAsiaTheme="minorEastAsia" w:hAnsi="Times New Roman" w:cs="Times New Roman"/>
          <w:sz w:val="24"/>
          <w:szCs w:val="24"/>
        </w:rPr>
        <w:t>atemática em cada categoria após o método ser aplicado com diferentes níveis de credibilidade (</w:t>
      </w:r>
      <m:oMath>
        <m:r>
          <w:rPr>
            <w:rFonts w:ascii="Cambria Math" w:eastAsiaTheme="minorEastAsia" w:hAnsi="Cambria Math" w:cs="Times New Roman"/>
            <w:sz w:val="24"/>
            <w:szCs w:val="24"/>
          </w:rPr>
          <m:t>λ</m:t>
        </m:r>
      </m:oMath>
      <w:r w:rsidRPr="00892E62">
        <w:rPr>
          <w:rFonts w:ascii="Times New Roman" w:eastAsiaTheme="minorEastAsia" w:hAnsi="Times New Roman" w:cs="Times New Roman"/>
          <w:sz w:val="24"/>
          <w:szCs w:val="24"/>
        </w:rPr>
        <w:t xml:space="preserve">). Os níveis de credibilidade da análise variaram 2,5% e 5% a mais e a menos que a amplitude do intervalo [0.5, </w:t>
      </w:r>
      <w:proofErr w:type="gramStart"/>
      <w:r w:rsidRPr="00892E62">
        <w:rPr>
          <w:rFonts w:ascii="Times New Roman" w:eastAsiaTheme="minorEastAsia" w:hAnsi="Times New Roman" w:cs="Times New Roman"/>
          <w:sz w:val="24"/>
          <w:szCs w:val="24"/>
        </w:rPr>
        <w:t>1</w:t>
      </w:r>
      <w:proofErr w:type="gramEnd"/>
      <w:r w:rsidRPr="00892E62">
        <w:rPr>
          <w:rFonts w:ascii="Times New Roman" w:eastAsiaTheme="minorEastAsia" w:hAnsi="Times New Roman" w:cs="Times New Roman"/>
          <w:sz w:val="24"/>
          <w:szCs w:val="24"/>
        </w:rPr>
        <w:t>], valores que o nível de credibilidade (</w:t>
      </w:r>
      <m:oMath>
        <m:r>
          <w:rPr>
            <w:rFonts w:ascii="Cambria Math" w:eastAsiaTheme="minorEastAsia" w:hAnsi="Cambria Math" w:cs="Times New Roman"/>
            <w:sz w:val="24"/>
            <w:szCs w:val="24"/>
          </w:rPr>
          <m:t>λ</m:t>
        </m:r>
      </m:oMath>
      <w:r w:rsidRPr="00892E62">
        <w:rPr>
          <w:rFonts w:ascii="Times New Roman" w:eastAsiaTheme="minorEastAsia" w:hAnsi="Times New Roman" w:cs="Times New Roman"/>
          <w:sz w:val="24"/>
          <w:szCs w:val="24"/>
        </w:rPr>
        <w:t xml:space="preserve">) pode assumir.  </w:t>
      </w:r>
    </w:p>
    <w:p w:rsidR="00A565A4" w:rsidRPr="00AA024C" w:rsidRDefault="00A565A4" w:rsidP="00A565A4">
      <w:pPr>
        <w:pStyle w:val="Legenda"/>
        <w:keepNext/>
        <w:jc w:val="center"/>
        <w:rPr>
          <w:rFonts w:ascii="Times New Roman" w:hAnsi="Times New Roman" w:cs="Times New Roman"/>
          <w:b w:val="0"/>
          <w:color w:val="auto"/>
          <w:sz w:val="22"/>
          <w:szCs w:val="22"/>
        </w:rPr>
      </w:pPr>
      <w:r w:rsidRPr="00AA024C">
        <w:rPr>
          <w:rFonts w:ascii="Times New Roman" w:hAnsi="Times New Roman" w:cs="Times New Roman"/>
          <w:b w:val="0"/>
          <w:color w:val="auto"/>
          <w:sz w:val="22"/>
          <w:szCs w:val="22"/>
        </w:rPr>
        <w:t>Tabela 6-Distribuição dos cursos nas categorias após a análise de sensibilidade no nível de credibilidade.</w:t>
      </w:r>
      <w:bookmarkEnd w:id="15"/>
    </w:p>
    <w:tbl>
      <w:tblPr>
        <w:tblStyle w:val="SombreamentoClaro1"/>
        <w:tblW w:w="0" w:type="auto"/>
        <w:jc w:val="center"/>
        <w:tblInd w:w="-459" w:type="dxa"/>
        <w:tblLook w:val="04A0" w:firstRow="1" w:lastRow="0" w:firstColumn="1" w:lastColumn="0" w:noHBand="0" w:noVBand="1"/>
      </w:tblPr>
      <w:tblGrid>
        <w:gridCol w:w="1331"/>
        <w:gridCol w:w="2091"/>
        <w:gridCol w:w="1497"/>
        <w:gridCol w:w="1460"/>
        <w:gridCol w:w="1497"/>
        <w:gridCol w:w="1303"/>
      </w:tblGrid>
      <w:tr w:rsidR="00A565A4" w:rsidRPr="00AA024C" w:rsidTr="002B54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vMerge w:val="restart"/>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Classes</w:t>
            </w:r>
          </w:p>
        </w:tc>
        <w:tc>
          <w:tcPr>
            <w:tcW w:w="7848" w:type="dxa"/>
            <w:gridSpan w:val="5"/>
            <w:shd w:val="clear" w:color="auto" w:fill="auto"/>
            <w:vAlign w:val="center"/>
          </w:tcPr>
          <w:p w:rsidR="00A565A4" w:rsidRPr="00AA024C" w:rsidRDefault="00A565A4" w:rsidP="002B54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sidRPr="00AA024C">
              <w:rPr>
                <w:rFonts w:ascii="Times New Roman" w:eastAsiaTheme="minorEastAsia" w:hAnsi="Times New Roman" w:cs="Times New Roman"/>
              </w:rPr>
              <w:t>Níveis de credibilidade</w:t>
            </w:r>
          </w:p>
        </w:tc>
      </w:tr>
      <w:tr w:rsidR="00A565A4" w:rsidRPr="00AA024C" w:rsidTr="002B5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vMerge/>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p>
        </w:tc>
        <w:tc>
          <w:tcPr>
            <w:tcW w:w="2091" w:type="dxa"/>
            <w:shd w:val="clear" w:color="auto" w:fill="auto"/>
            <w:vAlign w:val="center"/>
          </w:tcPr>
          <w:p w:rsidR="00A565A4" w:rsidRPr="00AA024C" w:rsidRDefault="00A565A4" w:rsidP="002B54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
              <m:r>
                <w:rPr>
                  <w:rFonts w:ascii="Cambria Math" w:eastAsiaTheme="minorEastAsia" w:hAnsi="Cambria Math" w:cs="Times New Roman"/>
                </w:rPr>
                <m:t>λ=0,7</m:t>
              </m:r>
            </m:oMath>
            <w:r w:rsidRPr="00AA024C">
              <w:rPr>
                <w:rFonts w:ascii="Times New Roman" w:eastAsiaTheme="minorEastAsia" w:hAnsi="Times New Roman" w:cs="Times New Roman"/>
              </w:rPr>
              <w:t xml:space="preserve"> (adotado)</w:t>
            </w:r>
          </w:p>
        </w:tc>
        <w:tc>
          <w:tcPr>
            <w:tcW w:w="1497" w:type="dxa"/>
            <w:shd w:val="clear" w:color="auto" w:fill="auto"/>
            <w:vAlign w:val="center"/>
          </w:tcPr>
          <w:p w:rsidR="00A565A4" w:rsidRPr="00AA024C" w:rsidRDefault="00A565A4" w:rsidP="002B54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r>
                  <w:rPr>
                    <w:rFonts w:ascii="Cambria Math" w:eastAsiaTheme="minorEastAsia" w:hAnsi="Cambria Math" w:cs="Times New Roman"/>
                  </w:rPr>
                  <m:t>λ=0,675</m:t>
                </m:r>
              </m:oMath>
            </m:oMathPara>
          </w:p>
        </w:tc>
        <w:tc>
          <w:tcPr>
            <w:tcW w:w="1460" w:type="dxa"/>
            <w:shd w:val="clear" w:color="auto" w:fill="auto"/>
            <w:vAlign w:val="center"/>
          </w:tcPr>
          <w:p w:rsidR="00A565A4" w:rsidRPr="00AA024C" w:rsidRDefault="00A565A4" w:rsidP="002B54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r>
                  <w:rPr>
                    <w:rFonts w:ascii="Cambria Math" w:eastAsiaTheme="minorEastAsia" w:hAnsi="Cambria Math" w:cs="Times New Roman"/>
                  </w:rPr>
                  <m:t>λ=0,6875</m:t>
                </m:r>
              </m:oMath>
            </m:oMathPara>
          </w:p>
        </w:tc>
        <w:tc>
          <w:tcPr>
            <w:tcW w:w="1497" w:type="dxa"/>
            <w:shd w:val="clear" w:color="auto" w:fill="auto"/>
            <w:vAlign w:val="center"/>
          </w:tcPr>
          <w:p w:rsidR="00A565A4" w:rsidRPr="00AA024C" w:rsidRDefault="00A565A4" w:rsidP="002B54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r>
                  <w:rPr>
                    <w:rFonts w:ascii="Cambria Math" w:eastAsiaTheme="minorEastAsia" w:hAnsi="Cambria Math" w:cs="Times New Roman"/>
                  </w:rPr>
                  <m:t>λ=0,7125</m:t>
                </m:r>
              </m:oMath>
            </m:oMathPara>
          </w:p>
        </w:tc>
        <w:tc>
          <w:tcPr>
            <w:tcW w:w="1303" w:type="dxa"/>
            <w:shd w:val="clear" w:color="auto" w:fill="auto"/>
            <w:vAlign w:val="center"/>
          </w:tcPr>
          <w:p w:rsidR="00A565A4" w:rsidRPr="00AA024C" w:rsidRDefault="00A565A4" w:rsidP="002B54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r>
                  <w:rPr>
                    <w:rFonts w:ascii="Cambria Math" w:eastAsia="Calibri" w:hAnsi="Cambria Math" w:cs="Times New Roman"/>
                  </w:rPr>
                  <m:t>λ=0,725</m:t>
                </m:r>
              </m:oMath>
            </m:oMathPara>
          </w:p>
        </w:tc>
      </w:tr>
      <w:tr w:rsidR="00A565A4" w:rsidRPr="00AA024C" w:rsidTr="002B5445">
        <w:trPr>
          <w:jc w:val="center"/>
        </w:trPr>
        <w:tc>
          <w:tcPr>
            <w:cnfStyle w:val="001000000000" w:firstRow="0" w:lastRow="0" w:firstColumn="1" w:lastColumn="0" w:oddVBand="0" w:evenVBand="0" w:oddHBand="0" w:evenHBand="0" w:firstRowFirstColumn="0" w:firstRowLastColumn="0" w:lastRowFirstColumn="0" w:lastRowLastColumn="0"/>
            <w:tcW w:w="1331" w:type="dxa"/>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C1</w:t>
            </w:r>
          </w:p>
        </w:tc>
        <w:tc>
          <w:tcPr>
            <w:tcW w:w="2091"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32</w:t>
            </w:r>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32</w:t>
            </w:r>
          </w:p>
        </w:tc>
        <w:tc>
          <w:tcPr>
            <w:tcW w:w="1460"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32</w:t>
            </w:r>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44</w:t>
            </w:r>
          </w:p>
        </w:tc>
        <w:tc>
          <w:tcPr>
            <w:tcW w:w="1303"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44</w:t>
            </w:r>
          </w:p>
        </w:tc>
      </w:tr>
      <w:tr w:rsidR="00A565A4" w:rsidRPr="00AA024C" w:rsidTr="002B5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C2</w:t>
            </w:r>
          </w:p>
        </w:tc>
        <w:tc>
          <w:tcPr>
            <w:tcW w:w="2091"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90</w:t>
            </w:r>
          </w:p>
        </w:tc>
        <w:tc>
          <w:tcPr>
            <w:tcW w:w="1497"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89</w:t>
            </w:r>
          </w:p>
        </w:tc>
        <w:tc>
          <w:tcPr>
            <w:tcW w:w="1460"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90</w:t>
            </w:r>
          </w:p>
        </w:tc>
        <w:tc>
          <w:tcPr>
            <w:tcW w:w="1497"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86</w:t>
            </w:r>
          </w:p>
        </w:tc>
        <w:tc>
          <w:tcPr>
            <w:tcW w:w="1303"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88</w:t>
            </w:r>
          </w:p>
        </w:tc>
      </w:tr>
      <w:tr w:rsidR="00A565A4" w:rsidRPr="00AA024C" w:rsidTr="002B5445">
        <w:trPr>
          <w:jc w:val="center"/>
        </w:trPr>
        <w:tc>
          <w:tcPr>
            <w:cnfStyle w:val="001000000000" w:firstRow="0" w:lastRow="0" w:firstColumn="1" w:lastColumn="0" w:oddVBand="0" w:evenVBand="0" w:oddHBand="0" w:evenHBand="0" w:firstRowFirstColumn="0" w:firstRowLastColumn="0" w:lastRowFirstColumn="0" w:lastRowLastColumn="0"/>
            <w:tcW w:w="1331" w:type="dxa"/>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C3</w:t>
            </w:r>
          </w:p>
        </w:tc>
        <w:tc>
          <w:tcPr>
            <w:tcW w:w="2091"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92</w:t>
            </w:r>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93</w:t>
            </w:r>
          </w:p>
        </w:tc>
        <w:tc>
          <w:tcPr>
            <w:tcW w:w="1460"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92</w:t>
            </w:r>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98</w:t>
            </w:r>
          </w:p>
        </w:tc>
        <w:tc>
          <w:tcPr>
            <w:tcW w:w="1303"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99</w:t>
            </w:r>
          </w:p>
        </w:tc>
      </w:tr>
      <w:tr w:rsidR="00A565A4" w:rsidRPr="00AA024C" w:rsidTr="002B54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C4</w:t>
            </w:r>
          </w:p>
        </w:tc>
        <w:tc>
          <w:tcPr>
            <w:tcW w:w="2091"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43</w:t>
            </w:r>
          </w:p>
        </w:tc>
        <w:tc>
          <w:tcPr>
            <w:tcW w:w="1497"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43</w:t>
            </w:r>
          </w:p>
        </w:tc>
        <w:tc>
          <w:tcPr>
            <w:tcW w:w="1460"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43</w:t>
            </w:r>
          </w:p>
        </w:tc>
        <w:tc>
          <w:tcPr>
            <w:tcW w:w="1497"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31</w:t>
            </w:r>
          </w:p>
        </w:tc>
        <w:tc>
          <w:tcPr>
            <w:tcW w:w="1303" w:type="dxa"/>
            <w:shd w:val="clear" w:color="auto" w:fill="auto"/>
            <w:vAlign w:val="center"/>
          </w:tcPr>
          <w:p w:rsidR="00A565A4" w:rsidRPr="00AA024C" w:rsidRDefault="00A565A4" w:rsidP="002B54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t-BR"/>
              </w:rPr>
            </w:pPr>
            <w:r w:rsidRPr="00AA024C">
              <w:rPr>
                <w:rFonts w:ascii="Times New Roman" w:eastAsia="Times New Roman" w:hAnsi="Times New Roman" w:cs="Times New Roman"/>
                <w:color w:val="000000"/>
                <w:lang w:eastAsia="pt-BR"/>
              </w:rPr>
              <w:t>30</w:t>
            </w:r>
          </w:p>
        </w:tc>
      </w:tr>
      <w:tr w:rsidR="00A565A4" w:rsidRPr="00AA024C" w:rsidTr="002B5445">
        <w:trPr>
          <w:jc w:val="center"/>
        </w:trPr>
        <w:tc>
          <w:tcPr>
            <w:cnfStyle w:val="001000000000" w:firstRow="0" w:lastRow="0" w:firstColumn="1" w:lastColumn="0" w:oddVBand="0" w:evenVBand="0" w:oddHBand="0" w:evenHBand="0" w:firstRowFirstColumn="0" w:firstRowLastColumn="0" w:lastRowFirstColumn="0" w:lastRowLastColumn="0"/>
            <w:tcW w:w="1331" w:type="dxa"/>
            <w:shd w:val="clear" w:color="auto" w:fill="auto"/>
            <w:vAlign w:val="center"/>
          </w:tcPr>
          <w:p w:rsidR="00A565A4" w:rsidRPr="00AA024C" w:rsidRDefault="00A565A4" w:rsidP="002B5445">
            <w:pPr>
              <w:spacing w:line="360" w:lineRule="auto"/>
              <w:jc w:val="center"/>
              <w:rPr>
                <w:rFonts w:ascii="Times New Roman" w:eastAsiaTheme="minorEastAsia" w:hAnsi="Times New Roman" w:cs="Times New Roman"/>
              </w:rPr>
            </w:pPr>
            <w:r w:rsidRPr="00AA024C">
              <w:rPr>
                <w:rFonts w:ascii="Times New Roman" w:eastAsiaTheme="minorEastAsia" w:hAnsi="Times New Roman" w:cs="Times New Roman"/>
              </w:rPr>
              <w:t>C5</w:t>
            </w:r>
          </w:p>
        </w:tc>
        <w:tc>
          <w:tcPr>
            <w:tcW w:w="2091"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AA024C">
              <w:rPr>
                <w:rFonts w:ascii="Times New Roman" w:eastAsia="Times New Roman" w:hAnsi="Times New Roman" w:cs="Times New Roman"/>
                <w:color w:val="000000"/>
                <w:lang w:eastAsia="pt-BR"/>
              </w:rPr>
              <w:t>9</w:t>
            </w:r>
            <w:proofErr w:type="gramEnd"/>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AA024C">
              <w:rPr>
                <w:rFonts w:ascii="Times New Roman" w:eastAsia="Times New Roman" w:hAnsi="Times New Roman" w:cs="Times New Roman"/>
                <w:color w:val="000000"/>
                <w:lang w:eastAsia="pt-BR"/>
              </w:rPr>
              <w:t>8</w:t>
            </w:r>
            <w:proofErr w:type="gramEnd"/>
          </w:p>
        </w:tc>
        <w:tc>
          <w:tcPr>
            <w:tcW w:w="1460"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AA024C">
              <w:rPr>
                <w:rFonts w:ascii="Times New Roman" w:eastAsia="Times New Roman" w:hAnsi="Times New Roman" w:cs="Times New Roman"/>
                <w:color w:val="000000"/>
                <w:lang w:eastAsia="pt-BR"/>
              </w:rPr>
              <w:t>8</w:t>
            </w:r>
            <w:proofErr w:type="gramEnd"/>
          </w:p>
        </w:tc>
        <w:tc>
          <w:tcPr>
            <w:tcW w:w="1497"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AA024C">
              <w:rPr>
                <w:rFonts w:ascii="Times New Roman" w:eastAsia="Times New Roman" w:hAnsi="Times New Roman" w:cs="Times New Roman"/>
                <w:color w:val="000000"/>
                <w:lang w:eastAsia="pt-BR"/>
              </w:rPr>
              <w:t>6</w:t>
            </w:r>
            <w:proofErr w:type="gramEnd"/>
          </w:p>
        </w:tc>
        <w:tc>
          <w:tcPr>
            <w:tcW w:w="1303" w:type="dxa"/>
            <w:shd w:val="clear" w:color="auto" w:fill="auto"/>
            <w:vAlign w:val="center"/>
          </w:tcPr>
          <w:p w:rsidR="00A565A4" w:rsidRPr="00AA024C" w:rsidRDefault="00A565A4" w:rsidP="002B54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t-BR"/>
              </w:rPr>
            </w:pPr>
            <w:proofErr w:type="gramStart"/>
            <w:r w:rsidRPr="00AA024C">
              <w:rPr>
                <w:rFonts w:ascii="Times New Roman" w:eastAsia="Times New Roman" w:hAnsi="Times New Roman" w:cs="Times New Roman"/>
                <w:color w:val="000000"/>
                <w:lang w:eastAsia="pt-BR"/>
              </w:rPr>
              <w:t>6</w:t>
            </w:r>
            <w:proofErr w:type="gramEnd"/>
          </w:p>
        </w:tc>
      </w:tr>
    </w:tbl>
    <w:p w:rsidR="004974AE" w:rsidRDefault="004974AE" w:rsidP="004974AE">
      <w:pPr>
        <w:spacing w:line="360" w:lineRule="auto"/>
        <w:ind w:firstLine="708"/>
        <w:jc w:val="both"/>
        <w:rPr>
          <w:rFonts w:ascii="Times New Roman" w:eastAsiaTheme="minorEastAsia" w:hAnsi="Times New Roman" w:cs="Times New Roman"/>
          <w:sz w:val="24"/>
          <w:szCs w:val="24"/>
        </w:rPr>
      </w:pPr>
    </w:p>
    <w:p w:rsidR="00637A6D" w:rsidRDefault="00637A6D" w:rsidP="00637A6D">
      <w:pPr>
        <w:spacing w:line="360" w:lineRule="auto"/>
        <w:ind w:firstLine="708"/>
        <w:jc w:val="both"/>
        <w:rPr>
          <w:rFonts w:ascii="Times New Roman" w:eastAsia="Times New Roman" w:hAnsi="Times New Roman"/>
          <w:sz w:val="24"/>
          <w:szCs w:val="24"/>
        </w:rPr>
      </w:pPr>
      <w:r w:rsidRPr="004A5555">
        <w:rPr>
          <w:rFonts w:ascii="Times New Roman" w:eastAsia="Times New Roman" w:hAnsi="Times New Roman"/>
          <w:sz w:val="24"/>
          <w:szCs w:val="24"/>
        </w:rPr>
        <w:lastRenderedPageBreak/>
        <w:t xml:space="preserve">Na tabela 6 </w:t>
      </w:r>
      <w:proofErr w:type="gramStart"/>
      <w:r w:rsidRPr="004A5555">
        <w:rPr>
          <w:rFonts w:ascii="Times New Roman" w:eastAsia="Times New Roman" w:hAnsi="Times New Roman"/>
          <w:sz w:val="24"/>
          <w:szCs w:val="24"/>
        </w:rPr>
        <w:t>pode-se</w:t>
      </w:r>
      <w:proofErr w:type="gramEnd"/>
      <w:r w:rsidRPr="004A5555">
        <w:rPr>
          <w:rFonts w:ascii="Times New Roman" w:eastAsia="Times New Roman" w:hAnsi="Times New Roman"/>
          <w:sz w:val="24"/>
          <w:szCs w:val="24"/>
        </w:rPr>
        <w:t xml:space="preserve"> observar algumas poucas alterações na classificação dos cursos com a mudança no nível de credibilidade e nenhuma mudança na classificação com a variação de </w:t>
      </w:r>
      <m:oMath>
        <m:r>
          <w:rPr>
            <w:rFonts w:ascii="Cambria Math" w:eastAsia="Times New Roman" w:hAnsi="Cambria Math"/>
            <w:sz w:val="24"/>
            <w:szCs w:val="24"/>
          </w:rPr>
          <m:t>p</m:t>
        </m:r>
      </m:oMath>
      <w:r w:rsidRPr="004A5555">
        <w:rPr>
          <w:rFonts w:ascii="Times New Roman" w:eastAsia="Times New Roman" w:hAnsi="Times New Roman"/>
          <w:sz w:val="24"/>
          <w:szCs w:val="24"/>
        </w:rPr>
        <w:t xml:space="preserve"> e </w:t>
      </w:r>
      <m:oMath>
        <m:r>
          <w:rPr>
            <w:rFonts w:ascii="Cambria Math" w:eastAsia="Times New Roman" w:hAnsi="Cambria Math"/>
            <w:sz w:val="24"/>
            <w:szCs w:val="24"/>
          </w:rPr>
          <m:t>q</m:t>
        </m:r>
      </m:oMath>
      <w:r w:rsidRPr="004A5555">
        <w:rPr>
          <w:rFonts w:ascii="Times New Roman" w:eastAsia="Times New Roman" w:hAnsi="Times New Roman"/>
          <w:sz w:val="24"/>
          <w:szCs w:val="24"/>
        </w:rPr>
        <w:t>. Este fato mostra que o método é robusto e adequado para a classificação dos cursos de licenciatura em matemática.</w:t>
      </w:r>
    </w:p>
    <w:p w:rsidR="00A14847" w:rsidRDefault="00FC4E50" w:rsidP="00637A6D">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As mudanças ocorreram quando o nível de credibilidade é maior, os cursos não mantem suas classi</w:t>
      </w:r>
      <w:r w:rsidR="009669E3">
        <w:rPr>
          <w:rFonts w:ascii="Times New Roman" w:eastAsia="Times New Roman" w:hAnsi="Times New Roman"/>
          <w:sz w:val="24"/>
          <w:szCs w:val="24"/>
        </w:rPr>
        <w:t xml:space="preserve">ficações nas categorias e </w:t>
      </w:r>
      <w:proofErr w:type="gramStart"/>
      <w:r w:rsidR="009669E3">
        <w:rPr>
          <w:rFonts w:ascii="Times New Roman" w:eastAsia="Times New Roman" w:hAnsi="Times New Roman"/>
          <w:sz w:val="24"/>
          <w:szCs w:val="24"/>
        </w:rPr>
        <w:t>caem</w:t>
      </w:r>
      <w:proofErr w:type="gramEnd"/>
      <w:r w:rsidR="009669E3">
        <w:rPr>
          <w:rFonts w:ascii="Times New Roman" w:eastAsia="Times New Roman" w:hAnsi="Times New Roman"/>
          <w:sz w:val="24"/>
          <w:szCs w:val="24"/>
        </w:rPr>
        <w:t xml:space="preserve"> </w:t>
      </w:r>
      <w:r>
        <w:rPr>
          <w:rFonts w:ascii="Times New Roman" w:eastAsia="Times New Roman" w:hAnsi="Times New Roman"/>
          <w:sz w:val="24"/>
          <w:szCs w:val="24"/>
        </w:rPr>
        <w:t>uma posição na classificação</w:t>
      </w:r>
      <w:r w:rsidR="009669E3">
        <w:rPr>
          <w:rFonts w:ascii="Times New Roman" w:eastAsia="Times New Roman" w:hAnsi="Times New Roman"/>
          <w:sz w:val="24"/>
          <w:szCs w:val="24"/>
        </w:rPr>
        <w:t xml:space="preserve"> quando os níveis de credibilidade são o,7125 e 0,725</w:t>
      </w:r>
      <w:r>
        <w:rPr>
          <w:rFonts w:ascii="Times New Roman" w:eastAsia="Times New Roman" w:hAnsi="Times New Roman"/>
          <w:sz w:val="24"/>
          <w:szCs w:val="24"/>
        </w:rPr>
        <w:t>.</w:t>
      </w:r>
      <w:r w:rsidR="00A14847">
        <w:rPr>
          <w:rFonts w:ascii="Times New Roman" w:eastAsia="Times New Roman" w:hAnsi="Times New Roman"/>
          <w:sz w:val="24"/>
          <w:szCs w:val="24"/>
        </w:rPr>
        <w:t xml:space="preserve"> As alterações ocorreram nos</w:t>
      </w:r>
      <w:r w:rsidR="00656FF5">
        <w:rPr>
          <w:rFonts w:ascii="Times New Roman" w:eastAsia="Times New Roman" w:hAnsi="Times New Roman"/>
          <w:sz w:val="24"/>
          <w:szCs w:val="24"/>
        </w:rPr>
        <w:t xml:space="preserve"> cursos: </w:t>
      </w:r>
      <w:r w:rsidR="00742BD8">
        <w:rPr>
          <w:rFonts w:ascii="Times New Roman" w:eastAsia="Times New Roman" w:hAnsi="Times New Roman"/>
          <w:sz w:val="24"/>
          <w:szCs w:val="24"/>
        </w:rPr>
        <w:t xml:space="preserve">UCPEL, UNIT, CTESOP, FACIG, UEA (TEFÉ), FUNEES TEÓFILO OTONI </w:t>
      </w:r>
      <w:r w:rsidR="00656FF5">
        <w:rPr>
          <w:rFonts w:ascii="Times New Roman" w:eastAsia="Times New Roman" w:hAnsi="Times New Roman"/>
          <w:sz w:val="24"/>
          <w:szCs w:val="24"/>
        </w:rPr>
        <w:t>que caem da categoria C</w:t>
      </w:r>
      <w:r w:rsidR="00A14847">
        <w:rPr>
          <w:rFonts w:ascii="Times New Roman" w:eastAsia="Times New Roman" w:hAnsi="Times New Roman"/>
          <w:sz w:val="24"/>
          <w:szCs w:val="24"/>
        </w:rPr>
        <w:t xml:space="preserve">3 para </w:t>
      </w:r>
      <w:r w:rsidR="00656FF5">
        <w:rPr>
          <w:rFonts w:ascii="Times New Roman" w:eastAsia="Times New Roman" w:hAnsi="Times New Roman"/>
          <w:sz w:val="24"/>
          <w:szCs w:val="24"/>
        </w:rPr>
        <w:t>C</w:t>
      </w:r>
      <w:r w:rsidR="00A14847">
        <w:rPr>
          <w:rFonts w:ascii="Times New Roman" w:eastAsia="Times New Roman" w:hAnsi="Times New Roman"/>
          <w:sz w:val="24"/>
          <w:szCs w:val="24"/>
        </w:rPr>
        <w:t>1</w:t>
      </w:r>
      <w:r w:rsidR="00656FF5">
        <w:rPr>
          <w:rFonts w:ascii="Times New Roman" w:eastAsia="Times New Roman" w:hAnsi="Times New Roman"/>
          <w:sz w:val="24"/>
          <w:szCs w:val="24"/>
        </w:rPr>
        <w:t>; nos cursos</w:t>
      </w:r>
      <w:r w:rsidR="00A14847">
        <w:rPr>
          <w:rFonts w:ascii="Times New Roman" w:eastAsia="Times New Roman" w:hAnsi="Times New Roman"/>
          <w:sz w:val="24"/>
          <w:szCs w:val="24"/>
        </w:rPr>
        <w:t xml:space="preserve"> </w:t>
      </w:r>
      <w:r w:rsidR="00742BD8">
        <w:rPr>
          <w:rFonts w:ascii="Times New Roman" w:eastAsia="Times New Roman" w:hAnsi="Times New Roman"/>
          <w:sz w:val="24"/>
          <w:szCs w:val="24"/>
        </w:rPr>
        <w:t>UNEB (CAETITÉ), UCB, FFCLI e FAPE2</w:t>
      </w:r>
      <w:r w:rsidR="00A14847">
        <w:rPr>
          <w:rFonts w:ascii="Times New Roman" w:eastAsia="Times New Roman" w:hAnsi="Times New Roman"/>
          <w:sz w:val="24"/>
          <w:szCs w:val="24"/>
        </w:rPr>
        <w:t xml:space="preserve"> </w:t>
      </w:r>
      <w:r w:rsidR="00656FF5">
        <w:rPr>
          <w:rFonts w:ascii="Times New Roman" w:eastAsia="Times New Roman" w:hAnsi="Times New Roman"/>
          <w:sz w:val="24"/>
          <w:szCs w:val="24"/>
        </w:rPr>
        <w:t xml:space="preserve">que </w:t>
      </w:r>
      <w:r w:rsidR="00A14847">
        <w:rPr>
          <w:rFonts w:ascii="Times New Roman" w:eastAsia="Times New Roman" w:hAnsi="Times New Roman"/>
          <w:sz w:val="24"/>
          <w:szCs w:val="24"/>
        </w:rPr>
        <w:t>ca</w:t>
      </w:r>
      <w:r w:rsidR="00656FF5">
        <w:rPr>
          <w:rFonts w:ascii="Times New Roman" w:eastAsia="Times New Roman" w:hAnsi="Times New Roman"/>
          <w:sz w:val="24"/>
          <w:szCs w:val="24"/>
        </w:rPr>
        <w:t>em da categoria</w:t>
      </w:r>
      <w:r w:rsidR="00A14847">
        <w:rPr>
          <w:rFonts w:ascii="Times New Roman" w:eastAsia="Times New Roman" w:hAnsi="Times New Roman"/>
          <w:sz w:val="24"/>
          <w:szCs w:val="24"/>
        </w:rPr>
        <w:t xml:space="preserve"> </w:t>
      </w:r>
      <w:r w:rsidR="00656FF5">
        <w:rPr>
          <w:rFonts w:ascii="Times New Roman" w:eastAsia="Times New Roman" w:hAnsi="Times New Roman"/>
          <w:sz w:val="24"/>
          <w:szCs w:val="24"/>
        </w:rPr>
        <w:t>C</w:t>
      </w:r>
      <w:r w:rsidR="00A14847">
        <w:rPr>
          <w:rFonts w:ascii="Times New Roman" w:eastAsia="Times New Roman" w:hAnsi="Times New Roman"/>
          <w:sz w:val="24"/>
          <w:szCs w:val="24"/>
        </w:rPr>
        <w:t xml:space="preserve">2 para </w:t>
      </w:r>
      <w:r w:rsidR="00656FF5">
        <w:rPr>
          <w:rFonts w:ascii="Times New Roman" w:eastAsia="Times New Roman" w:hAnsi="Times New Roman"/>
          <w:sz w:val="24"/>
          <w:szCs w:val="24"/>
        </w:rPr>
        <w:t xml:space="preserve">C1; nos cursos </w:t>
      </w:r>
      <w:r w:rsidR="009669E3">
        <w:rPr>
          <w:rFonts w:ascii="Times New Roman" w:eastAsia="Times New Roman" w:hAnsi="Times New Roman"/>
          <w:sz w:val="24"/>
          <w:szCs w:val="24"/>
        </w:rPr>
        <w:t>CEUCLAR, ULBRA (CANOAS</w:t>
      </w:r>
      <w:r w:rsidR="00A85BF4">
        <w:rPr>
          <w:rFonts w:ascii="Times New Roman" w:eastAsia="Times New Roman" w:hAnsi="Times New Roman"/>
          <w:sz w:val="24"/>
          <w:szCs w:val="24"/>
        </w:rPr>
        <w:t>), UCSAL e UFMAS (CAMPO GRANDE)</w:t>
      </w:r>
      <w:r w:rsidR="00A14847">
        <w:rPr>
          <w:rFonts w:ascii="Times New Roman" w:eastAsia="Times New Roman" w:hAnsi="Times New Roman"/>
          <w:sz w:val="24"/>
          <w:szCs w:val="24"/>
        </w:rPr>
        <w:t xml:space="preserve"> </w:t>
      </w:r>
      <w:r w:rsidR="00656FF5">
        <w:rPr>
          <w:rFonts w:ascii="Times New Roman" w:eastAsia="Times New Roman" w:hAnsi="Times New Roman"/>
          <w:sz w:val="24"/>
          <w:szCs w:val="24"/>
        </w:rPr>
        <w:t>que caem da categoria C</w:t>
      </w:r>
      <w:r w:rsidR="00A14847">
        <w:rPr>
          <w:rFonts w:ascii="Times New Roman" w:eastAsia="Times New Roman" w:hAnsi="Times New Roman"/>
          <w:sz w:val="24"/>
          <w:szCs w:val="24"/>
        </w:rPr>
        <w:t xml:space="preserve">4 para </w:t>
      </w:r>
      <w:r w:rsidR="00656FF5">
        <w:rPr>
          <w:rFonts w:ascii="Times New Roman" w:eastAsia="Times New Roman" w:hAnsi="Times New Roman"/>
          <w:sz w:val="24"/>
          <w:szCs w:val="24"/>
        </w:rPr>
        <w:t>C3 e o curso</w:t>
      </w:r>
      <w:r w:rsidR="009669E3">
        <w:rPr>
          <w:rFonts w:ascii="Times New Roman" w:eastAsia="Times New Roman" w:hAnsi="Times New Roman"/>
          <w:sz w:val="24"/>
          <w:szCs w:val="24"/>
        </w:rPr>
        <w:t xml:space="preserve"> da UNIOESTE</w:t>
      </w:r>
      <w:r w:rsidR="00656FF5">
        <w:rPr>
          <w:rFonts w:ascii="Times New Roman" w:eastAsia="Times New Roman" w:hAnsi="Times New Roman"/>
          <w:sz w:val="24"/>
          <w:szCs w:val="24"/>
        </w:rPr>
        <w:t xml:space="preserve"> que cai da categoria C4 para C2.</w:t>
      </w:r>
    </w:p>
    <w:p w:rsidR="006575CD" w:rsidRDefault="006575CD" w:rsidP="006575CD">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7</w:t>
      </w:r>
      <w:r w:rsidRPr="001E4E7C">
        <w:rPr>
          <w:rFonts w:ascii="Times New Roman" w:eastAsiaTheme="minorEastAsia" w:hAnsi="Times New Roman" w:cs="Times New Roman"/>
          <w:b/>
          <w:sz w:val="24"/>
          <w:szCs w:val="24"/>
        </w:rPr>
        <w:t>. Conclusões e considerações finais</w:t>
      </w:r>
    </w:p>
    <w:p w:rsidR="006575CD" w:rsidRDefault="006575CD" w:rsidP="006575CD">
      <w:pPr>
        <w:spacing w:line="360" w:lineRule="auto"/>
        <w:ind w:firstLine="708"/>
        <w:jc w:val="both"/>
        <w:rPr>
          <w:rFonts w:ascii="Times New Roman" w:eastAsiaTheme="minorEastAsia" w:hAnsi="Times New Roman" w:cs="Times New Roman"/>
          <w:sz w:val="24"/>
          <w:szCs w:val="24"/>
        </w:rPr>
      </w:pPr>
      <w:r w:rsidRPr="005A7EB0">
        <w:rPr>
          <w:rFonts w:ascii="Times New Roman" w:eastAsiaTheme="minorEastAsia" w:hAnsi="Times New Roman" w:cs="Times New Roman"/>
          <w:sz w:val="24"/>
          <w:szCs w:val="24"/>
        </w:rPr>
        <w:t>O atual mecanismo utilizado para avaliar a qualidade dos cursos de graduação brasileiros vem sofrendo algumas críticas por diversos autores que apontam alguns problemas como a compensatoriedade, o fato de se ter que transformar e padronizar os desempenhos das instituições nos critérios para se obter um conceito final para um determinado curso</w:t>
      </w:r>
      <w:r>
        <w:rPr>
          <w:rFonts w:ascii="Times New Roman" w:eastAsiaTheme="minorEastAsia" w:hAnsi="Times New Roman" w:cs="Times New Roman"/>
          <w:sz w:val="24"/>
          <w:szCs w:val="24"/>
        </w:rPr>
        <w:t>, o que pode trazer distorções e problemas na interpretação dos conceitos</w:t>
      </w:r>
      <w:r w:rsidRPr="005A7EB0">
        <w:rPr>
          <w:rFonts w:ascii="Times New Roman" w:eastAsiaTheme="minorEastAsia" w:hAnsi="Times New Roman" w:cs="Times New Roman"/>
          <w:sz w:val="24"/>
          <w:szCs w:val="24"/>
        </w:rPr>
        <w:t xml:space="preserve">. </w:t>
      </w:r>
      <w:r w:rsidR="00485B48">
        <w:rPr>
          <w:rFonts w:ascii="Times New Roman" w:eastAsiaTheme="minorEastAsia" w:hAnsi="Times New Roman" w:cs="Times New Roman"/>
          <w:sz w:val="24"/>
          <w:szCs w:val="24"/>
        </w:rPr>
        <w:t>Além disso, vários critérios englobam avaliações tanto qualitativas quanto quantitativas, sujeitas a subjetividades, todos difíceis de mensurar.</w:t>
      </w:r>
    </w:p>
    <w:p w:rsidR="005202A4" w:rsidRDefault="006575CD" w:rsidP="006575CD">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 ELECTRE TRI-C é um método multicritério desenvolvido para problemas de classificação, </w:t>
      </w:r>
      <w:r w:rsidR="00485B48">
        <w:rPr>
          <w:rFonts w:ascii="Times New Roman" w:eastAsiaTheme="minorEastAsia" w:hAnsi="Times New Roman" w:cs="Times New Roman"/>
          <w:sz w:val="24"/>
          <w:szCs w:val="24"/>
        </w:rPr>
        <w:t xml:space="preserve">que engloba as subjetividades que todo o processo de avaliação está sujeito, sendo que o método é </w:t>
      </w:r>
      <w:r>
        <w:rPr>
          <w:rFonts w:ascii="Times New Roman" w:eastAsiaTheme="minorEastAsia" w:hAnsi="Times New Roman" w:cs="Times New Roman"/>
          <w:sz w:val="24"/>
          <w:szCs w:val="24"/>
        </w:rPr>
        <w:t xml:space="preserve">não compensatório e </w:t>
      </w:r>
      <w:r w:rsidR="00485B48">
        <w:rPr>
          <w:rFonts w:ascii="Times New Roman" w:eastAsiaTheme="minorEastAsia" w:hAnsi="Times New Roman" w:cs="Times New Roman"/>
          <w:sz w:val="24"/>
          <w:szCs w:val="24"/>
        </w:rPr>
        <w:t xml:space="preserve">sua aplicação nos dados dos cursos de licenciatura em matemática </w:t>
      </w:r>
      <w:r>
        <w:rPr>
          <w:rFonts w:ascii="Times New Roman" w:eastAsiaTheme="minorEastAsia" w:hAnsi="Times New Roman" w:cs="Times New Roman"/>
          <w:sz w:val="24"/>
          <w:szCs w:val="24"/>
        </w:rPr>
        <w:t>não necessita de transformação e padronização nos desempenhos dos cursos para fazer sua classificação.</w:t>
      </w:r>
      <w:r w:rsidR="00485B48">
        <w:rPr>
          <w:rFonts w:ascii="Times New Roman" w:eastAsiaTheme="minorEastAsia" w:hAnsi="Times New Roman" w:cs="Times New Roman"/>
          <w:sz w:val="24"/>
          <w:szCs w:val="24"/>
        </w:rPr>
        <w:t xml:space="preserve"> Assim, o método </w:t>
      </w:r>
      <w:r w:rsidR="005202A4">
        <w:rPr>
          <w:rFonts w:ascii="Times New Roman" w:eastAsiaTheme="minorEastAsia" w:hAnsi="Times New Roman" w:cs="Times New Roman"/>
          <w:sz w:val="24"/>
          <w:szCs w:val="24"/>
        </w:rPr>
        <w:t xml:space="preserve">pode ser uma alternativa capaz de minimizar algumas críticas feitas ao atual mecanismo CPC. </w:t>
      </w:r>
    </w:p>
    <w:p w:rsidR="0020731F" w:rsidRDefault="006575CD" w:rsidP="0020731F">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Os resultados mostraram que houve grande alteração na classificação dos cursos de licenciatura em matemática: 142 cursos tiveram sua classificação</w:t>
      </w:r>
      <w:r w:rsidR="003A322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alterada</w:t>
      </w:r>
      <w:r w:rsidR="00466DC0">
        <w:rPr>
          <w:rFonts w:ascii="Times New Roman" w:eastAsiaTheme="minorEastAsia" w:hAnsi="Times New Roman" w:cs="Times New Roman"/>
          <w:sz w:val="24"/>
          <w:szCs w:val="24"/>
        </w:rPr>
        <w:t>, dentre esse, 135 pioram suas classificações</w:t>
      </w:r>
      <w:r>
        <w:rPr>
          <w:rFonts w:ascii="Times New Roman" w:eastAsiaTheme="minorEastAsia" w:hAnsi="Times New Roman" w:cs="Times New Roman"/>
          <w:sz w:val="24"/>
          <w:szCs w:val="24"/>
        </w:rPr>
        <w:t xml:space="preserve">. </w:t>
      </w:r>
      <w:r w:rsidR="0020731F">
        <w:rPr>
          <w:rFonts w:ascii="Times New Roman" w:eastAsiaTheme="minorEastAsia" w:hAnsi="Times New Roman" w:cs="Times New Roman"/>
          <w:sz w:val="24"/>
          <w:szCs w:val="24"/>
        </w:rPr>
        <w:t>A análise de sensibilidade do modelo mostrou que o mesmo é robusto e adequado para classificar os cursos de graduação em matemática.</w:t>
      </w:r>
    </w:p>
    <w:p w:rsidR="00466DC0" w:rsidRDefault="00795783" w:rsidP="00466DC0">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 comparação do resultado da aplicação do ELECTRE TRI-C e sua comparação com o CPC permitiu um olhar diferente sobre a avaliação dos cursos de graduação e podemos ver que </w:t>
      </w:r>
      <w:r w:rsidR="00B03F62">
        <w:rPr>
          <w:rFonts w:ascii="Times New Roman" w:eastAsiaTheme="minorEastAsia" w:hAnsi="Times New Roman" w:cs="Times New Roman"/>
          <w:sz w:val="24"/>
          <w:szCs w:val="24"/>
        </w:rPr>
        <w:t>o</w:t>
      </w:r>
      <w:r>
        <w:rPr>
          <w:rFonts w:ascii="Times New Roman" w:eastAsiaTheme="minorEastAsia" w:hAnsi="Times New Roman" w:cs="Times New Roman"/>
          <w:sz w:val="24"/>
          <w:szCs w:val="24"/>
        </w:rPr>
        <w:t xml:space="preserve"> desempenho</w:t>
      </w:r>
      <w:r w:rsidR="00B03F62">
        <w:rPr>
          <w:rFonts w:ascii="Times New Roman" w:eastAsiaTheme="minorEastAsia" w:hAnsi="Times New Roman" w:cs="Times New Roman"/>
          <w:sz w:val="24"/>
          <w:szCs w:val="24"/>
        </w:rPr>
        <w:t xml:space="preserve"> nos critérios de alguns cursos não justifica sua classificação atual no CPC.</w:t>
      </w:r>
      <w:r w:rsidR="0020731F">
        <w:rPr>
          <w:rFonts w:ascii="Times New Roman" w:eastAsiaTheme="minorEastAsia" w:hAnsi="Times New Roman" w:cs="Times New Roman"/>
          <w:sz w:val="24"/>
          <w:szCs w:val="24"/>
        </w:rPr>
        <w:t xml:space="preserve"> </w:t>
      </w:r>
      <w:r w:rsidR="00466DC0">
        <w:rPr>
          <w:rFonts w:ascii="Times New Roman" w:eastAsiaTheme="minorEastAsia" w:hAnsi="Times New Roman" w:cs="Times New Roman"/>
          <w:sz w:val="24"/>
          <w:szCs w:val="24"/>
        </w:rPr>
        <w:t xml:space="preserve">A adesão por parte do MEC e principalmente das IES ao modelo proposto, apesar de difícil pelo fato dela alterar para pior o resultado de aproximadamente 50% dos cursos de licenciatura em </w:t>
      </w:r>
      <w:proofErr w:type="gramStart"/>
      <w:r w:rsidR="00466DC0">
        <w:rPr>
          <w:rFonts w:ascii="Times New Roman" w:eastAsiaTheme="minorEastAsia" w:hAnsi="Times New Roman" w:cs="Times New Roman"/>
          <w:sz w:val="24"/>
          <w:szCs w:val="24"/>
        </w:rPr>
        <w:t>matemática brasileiros</w:t>
      </w:r>
      <w:proofErr w:type="gramEnd"/>
      <w:r w:rsidR="00466DC0">
        <w:rPr>
          <w:rFonts w:ascii="Times New Roman" w:eastAsiaTheme="minorEastAsia" w:hAnsi="Times New Roman" w:cs="Times New Roman"/>
          <w:sz w:val="24"/>
          <w:szCs w:val="24"/>
        </w:rPr>
        <w:t xml:space="preserve">, </w:t>
      </w:r>
      <w:r w:rsidR="0020731F">
        <w:rPr>
          <w:rFonts w:ascii="Times New Roman" w:eastAsiaTheme="minorEastAsia" w:hAnsi="Times New Roman" w:cs="Times New Roman"/>
          <w:sz w:val="24"/>
          <w:szCs w:val="24"/>
        </w:rPr>
        <w:t>traria</w:t>
      </w:r>
      <w:r w:rsidR="00466DC0">
        <w:rPr>
          <w:rFonts w:ascii="Times New Roman" w:eastAsiaTheme="minorEastAsia" w:hAnsi="Times New Roman" w:cs="Times New Roman"/>
          <w:sz w:val="24"/>
          <w:szCs w:val="24"/>
        </w:rPr>
        <w:t xml:space="preserve"> benefícios e a consequente melhoria da qualidade dos cursos formadores de professores de matemática do país</w:t>
      </w:r>
      <w:r w:rsidR="0020731F">
        <w:rPr>
          <w:rFonts w:ascii="Times New Roman" w:eastAsiaTheme="minorEastAsia" w:hAnsi="Times New Roman" w:cs="Times New Roman"/>
          <w:sz w:val="24"/>
          <w:szCs w:val="24"/>
        </w:rPr>
        <w:t>, pois o ELECTRE TRI-C se mostrou mais rigoroso na qualificação dos cursos o que obrigaria as IES a melhorar seus desempenhos em cada critério para conseguir conceitos bons e satisfatórios.</w:t>
      </w:r>
    </w:p>
    <w:p w:rsidR="006575CD" w:rsidRPr="005A7EB0" w:rsidRDefault="00B03F62" w:rsidP="006575CD">
      <w:pPr>
        <w:spacing w:line="36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Como trabalho futuro seria importante um estudo para avaliar os critérios utilizados no atual CPC, pr</w:t>
      </w:r>
      <w:r w:rsidR="00A928DB">
        <w:rPr>
          <w:rFonts w:ascii="Times New Roman" w:eastAsiaTheme="minorEastAsia" w:hAnsi="Times New Roman" w:cs="Times New Roman"/>
          <w:sz w:val="24"/>
          <w:szCs w:val="24"/>
        </w:rPr>
        <w:t>opondo uma revisão e melhoria dos mesmos</w:t>
      </w:r>
      <w:r>
        <w:rPr>
          <w:rFonts w:ascii="Times New Roman" w:eastAsiaTheme="minorEastAsia" w:hAnsi="Times New Roman" w:cs="Times New Roman"/>
          <w:sz w:val="24"/>
          <w:szCs w:val="24"/>
        </w:rPr>
        <w:t>.</w:t>
      </w:r>
    </w:p>
    <w:p w:rsidR="002F41D0" w:rsidRPr="00D0221D" w:rsidRDefault="004974AE">
      <w:pPr>
        <w:rPr>
          <w:rFonts w:ascii="Times New Roman" w:hAnsi="Times New Roman" w:cs="Times New Roman"/>
          <w:b/>
          <w:sz w:val="24"/>
          <w:szCs w:val="24"/>
        </w:rPr>
      </w:pPr>
      <w:r w:rsidRPr="00D0221D">
        <w:rPr>
          <w:rFonts w:ascii="Times New Roman" w:hAnsi="Times New Roman" w:cs="Times New Roman"/>
          <w:b/>
          <w:sz w:val="24"/>
          <w:szCs w:val="24"/>
        </w:rPr>
        <w:t xml:space="preserve">Referências </w:t>
      </w:r>
    </w:p>
    <w:p w:rsidR="00C03DBC" w:rsidRPr="00FC5BEA" w:rsidRDefault="00AF5DC7" w:rsidP="00C03DBC">
      <w:pPr>
        <w:pStyle w:val="NormalWeb"/>
        <w:spacing w:before="0" w:beforeAutospacing="0" w:after="0" w:afterAutospacing="0"/>
        <w:jc w:val="both"/>
        <w:rPr>
          <w:lang w:val="en-US"/>
        </w:rPr>
      </w:pPr>
      <w:r w:rsidRPr="00AD4345">
        <w:t>Almeida-Dias, J; Figueira, J. R.; Roy</w:t>
      </w:r>
      <w:r w:rsidR="00C03DBC" w:rsidRPr="00AD4345">
        <w:t>, B.</w:t>
      </w:r>
      <w:r w:rsidR="000860DE" w:rsidRPr="00AD4345">
        <w:t xml:space="preserve"> (2010)</w:t>
      </w:r>
      <w:r w:rsidR="000B2155" w:rsidRPr="00AD4345">
        <w:t>.</w:t>
      </w:r>
      <w:r w:rsidR="000860DE" w:rsidRPr="00AD4345">
        <w:t xml:space="preserve"> </w:t>
      </w:r>
      <w:r w:rsidR="00C03DBC" w:rsidRPr="00AD4345">
        <w:rPr>
          <w:lang w:val="en-US"/>
        </w:rPr>
        <w:t>ELECTRE TRI-C: A multiple criteria sorting method based on ch</w:t>
      </w:r>
      <w:r w:rsidR="000860DE" w:rsidRPr="00AD4345">
        <w:rPr>
          <w:lang w:val="en-US"/>
        </w:rPr>
        <w:t>aracteristic reference actions.</w:t>
      </w:r>
      <w:r w:rsidR="00C03DBC" w:rsidRPr="00AD4345">
        <w:rPr>
          <w:lang w:val="en-US"/>
        </w:rPr>
        <w:t xml:space="preserve"> </w:t>
      </w:r>
      <w:r w:rsidR="00C03DBC" w:rsidRPr="00FC5BEA">
        <w:rPr>
          <w:lang w:val="en-US"/>
        </w:rPr>
        <w:t xml:space="preserve">European Journal of Operational Research </w:t>
      </w:r>
      <w:r w:rsidR="000860DE" w:rsidRPr="00FC5BEA">
        <w:rPr>
          <w:lang w:val="en-US"/>
        </w:rPr>
        <w:t>Vol.</w:t>
      </w:r>
      <w:r w:rsidR="00C03DBC" w:rsidRPr="00FC5BEA">
        <w:rPr>
          <w:lang w:val="en-US"/>
        </w:rPr>
        <w:t>204</w:t>
      </w:r>
      <w:r w:rsidR="000860DE" w:rsidRPr="00FC5BEA">
        <w:rPr>
          <w:lang w:val="en-US"/>
        </w:rPr>
        <w:t>, n</w:t>
      </w:r>
      <w:r w:rsidR="0012589D" w:rsidRPr="00FC5BEA">
        <w:rPr>
          <w:lang w:val="en-US"/>
        </w:rPr>
        <w:t>.</w:t>
      </w:r>
      <w:r w:rsidR="000860DE" w:rsidRPr="00FC5BEA">
        <w:rPr>
          <w:lang w:val="en-US"/>
        </w:rPr>
        <w:t>13, p.</w:t>
      </w:r>
      <w:r w:rsidR="00C03DBC" w:rsidRPr="00FC5BEA">
        <w:rPr>
          <w:lang w:val="en-US"/>
        </w:rPr>
        <w:t xml:space="preserve"> 565–580.</w:t>
      </w:r>
    </w:p>
    <w:p w:rsidR="00C03DBC" w:rsidRPr="00FC5BEA" w:rsidRDefault="00C03DBC" w:rsidP="00C03DBC">
      <w:pPr>
        <w:pStyle w:val="NormalWeb"/>
        <w:spacing w:before="0" w:beforeAutospacing="0" w:after="0" w:afterAutospacing="0"/>
        <w:jc w:val="both"/>
        <w:rPr>
          <w:lang w:val="en-US"/>
        </w:rPr>
      </w:pPr>
    </w:p>
    <w:p w:rsidR="00C03DBC" w:rsidRPr="00AD4345" w:rsidRDefault="00AF5DC7" w:rsidP="00C03DBC">
      <w:pPr>
        <w:pStyle w:val="NormalWeb"/>
        <w:spacing w:before="0" w:beforeAutospacing="0" w:after="0" w:afterAutospacing="0"/>
        <w:jc w:val="both"/>
      </w:pPr>
      <w:proofErr w:type="spellStart"/>
      <w:proofErr w:type="gramStart"/>
      <w:r w:rsidRPr="00FC5BEA">
        <w:rPr>
          <w:lang w:val="en-US"/>
        </w:rPr>
        <w:t>Barreyro</w:t>
      </w:r>
      <w:proofErr w:type="spellEnd"/>
      <w:r w:rsidRPr="00FC5BEA">
        <w:rPr>
          <w:lang w:val="en-US"/>
        </w:rPr>
        <w:t xml:space="preserve">, G. B. e </w:t>
      </w:r>
      <w:proofErr w:type="spellStart"/>
      <w:r w:rsidRPr="00FC5BEA">
        <w:rPr>
          <w:lang w:val="en-US"/>
        </w:rPr>
        <w:t>Rothen</w:t>
      </w:r>
      <w:proofErr w:type="spellEnd"/>
      <w:r w:rsidRPr="00FC5BEA">
        <w:rPr>
          <w:lang w:val="en-US"/>
        </w:rPr>
        <w:t>, J. C</w:t>
      </w:r>
      <w:r w:rsidR="00C03DBC" w:rsidRPr="00FC5BEA">
        <w:rPr>
          <w:lang w:val="en-US"/>
        </w:rPr>
        <w:t xml:space="preserve">. </w:t>
      </w:r>
      <w:r w:rsidR="00FA2CC6" w:rsidRPr="00FC5BEA">
        <w:rPr>
          <w:lang w:val="en-US"/>
        </w:rPr>
        <w:t>(2006)</w:t>
      </w:r>
      <w:r w:rsidR="000B2155" w:rsidRPr="00FC5BEA">
        <w:rPr>
          <w:lang w:val="en-US"/>
        </w:rPr>
        <w:t>.</w:t>
      </w:r>
      <w:proofErr w:type="gramEnd"/>
      <w:r w:rsidR="00FA2CC6" w:rsidRPr="00FC5BEA">
        <w:rPr>
          <w:lang w:val="en-US"/>
        </w:rPr>
        <w:t xml:space="preserve"> </w:t>
      </w:r>
      <w:r w:rsidR="00C03DBC" w:rsidRPr="00AD4345">
        <w:t>SINAES contraditórios: considerações sobre a elaboração e implantação do Sistema Nacional de Avaliação da Educação Superior.</w:t>
      </w:r>
      <w:r w:rsidR="00FA2CC6" w:rsidRPr="00AD4345">
        <w:t xml:space="preserve"> </w:t>
      </w:r>
      <w:r w:rsidR="00C03DBC" w:rsidRPr="00AD4345">
        <w:t>Educação &amp; Sociedade</w:t>
      </w:r>
      <w:r w:rsidR="00FA2CC6" w:rsidRPr="00AD4345">
        <w:t>, v. 27, n. 96, p. 955–977</w:t>
      </w:r>
      <w:r w:rsidR="00C03DBC" w:rsidRPr="00AD4345">
        <w:t xml:space="preserve">. </w:t>
      </w:r>
    </w:p>
    <w:p w:rsidR="00C03DBC" w:rsidRPr="00AD4345" w:rsidRDefault="00C03DBC" w:rsidP="00C03DBC">
      <w:pPr>
        <w:pStyle w:val="NormalWeb"/>
        <w:spacing w:before="0" w:beforeAutospacing="0" w:after="0" w:afterAutospacing="0"/>
        <w:jc w:val="both"/>
      </w:pPr>
    </w:p>
    <w:p w:rsidR="00C03DBC" w:rsidRPr="00AD4345" w:rsidRDefault="00AF5DC7" w:rsidP="0012589D">
      <w:pPr>
        <w:pStyle w:val="Ttulo1"/>
        <w:shd w:val="clear" w:color="auto" w:fill="FFFFFF"/>
        <w:spacing w:before="0" w:line="360" w:lineRule="auto"/>
        <w:jc w:val="both"/>
        <w:rPr>
          <w:rFonts w:ascii="Times New Roman" w:hAnsi="Times New Roman" w:cs="Times New Roman"/>
          <w:b w:val="0"/>
          <w:color w:val="auto"/>
          <w:sz w:val="24"/>
          <w:szCs w:val="24"/>
        </w:rPr>
      </w:pPr>
      <w:proofErr w:type="spellStart"/>
      <w:r w:rsidRPr="00AD4345">
        <w:rPr>
          <w:rFonts w:ascii="Times New Roman" w:eastAsia="Times New Roman" w:hAnsi="Times New Roman" w:cs="Times New Roman"/>
          <w:b w:val="0"/>
          <w:color w:val="auto"/>
          <w:spacing w:val="5"/>
          <w:kern w:val="36"/>
          <w:sz w:val="24"/>
          <w:szCs w:val="24"/>
          <w:lang w:eastAsia="pt-BR"/>
        </w:rPr>
        <w:t>Bouyssou</w:t>
      </w:r>
      <w:proofErr w:type="spellEnd"/>
      <w:r w:rsidRPr="00AD4345">
        <w:rPr>
          <w:rFonts w:ascii="Times New Roman" w:eastAsia="Times New Roman" w:hAnsi="Times New Roman" w:cs="Times New Roman"/>
          <w:b w:val="0"/>
          <w:color w:val="auto"/>
          <w:spacing w:val="5"/>
          <w:kern w:val="36"/>
          <w:sz w:val="24"/>
          <w:szCs w:val="24"/>
          <w:lang w:eastAsia="pt-BR"/>
        </w:rPr>
        <w:t xml:space="preserve">, </w:t>
      </w:r>
      <w:proofErr w:type="gramStart"/>
      <w:r w:rsidRPr="00AD4345">
        <w:rPr>
          <w:rFonts w:ascii="Times New Roman" w:eastAsia="Times New Roman" w:hAnsi="Times New Roman" w:cs="Times New Roman"/>
          <w:b w:val="0"/>
          <w:color w:val="auto"/>
          <w:spacing w:val="5"/>
          <w:kern w:val="36"/>
          <w:sz w:val="24"/>
          <w:szCs w:val="24"/>
          <w:lang w:eastAsia="pt-BR"/>
        </w:rPr>
        <w:t>D.</w:t>
      </w:r>
      <w:proofErr w:type="gramEnd"/>
      <w:r w:rsidR="00C03DBC" w:rsidRPr="00AD4345">
        <w:rPr>
          <w:rFonts w:ascii="Times New Roman" w:eastAsia="Times New Roman" w:hAnsi="Times New Roman" w:cs="Times New Roman"/>
          <w:b w:val="0"/>
          <w:color w:val="auto"/>
          <w:spacing w:val="5"/>
          <w:kern w:val="36"/>
          <w:sz w:val="24"/>
          <w:szCs w:val="24"/>
          <w:lang w:eastAsia="pt-BR"/>
        </w:rPr>
        <w:t xml:space="preserve"> </w:t>
      </w:r>
      <w:r w:rsidR="0012589D" w:rsidRPr="00AD4345">
        <w:rPr>
          <w:rFonts w:ascii="Times New Roman" w:eastAsia="Times New Roman" w:hAnsi="Times New Roman" w:cs="Times New Roman"/>
          <w:b w:val="0"/>
          <w:i/>
          <w:color w:val="auto"/>
          <w:spacing w:val="5"/>
          <w:kern w:val="36"/>
          <w:sz w:val="24"/>
          <w:szCs w:val="24"/>
          <w:lang w:eastAsia="pt-BR"/>
        </w:rPr>
        <w:t>et al</w:t>
      </w:r>
      <w:r w:rsidR="0012589D" w:rsidRPr="00AD4345">
        <w:rPr>
          <w:rFonts w:ascii="Times New Roman" w:eastAsia="Times New Roman" w:hAnsi="Times New Roman" w:cs="Times New Roman"/>
          <w:b w:val="0"/>
          <w:color w:val="auto"/>
          <w:spacing w:val="5"/>
          <w:kern w:val="36"/>
          <w:sz w:val="24"/>
          <w:szCs w:val="24"/>
          <w:lang w:eastAsia="pt-BR"/>
        </w:rPr>
        <w:t>. (2000)</w:t>
      </w:r>
      <w:r w:rsidR="000B2155" w:rsidRPr="00AD4345">
        <w:rPr>
          <w:rFonts w:ascii="Times New Roman" w:eastAsia="Times New Roman" w:hAnsi="Times New Roman" w:cs="Times New Roman"/>
          <w:b w:val="0"/>
          <w:color w:val="auto"/>
          <w:spacing w:val="5"/>
          <w:kern w:val="36"/>
          <w:sz w:val="24"/>
          <w:szCs w:val="24"/>
          <w:lang w:eastAsia="pt-BR"/>
        </w:rPr>
        <w:t>.</w:t>
      </w:r>
      <w:r w:rsidR="0012589D" w:rsidRPr="00AD4345">
        <w:rPr>
          <w:rFonts w:ascii="Times New Roman" w:eastAsia="Times New Roman" w:hAnsi="Times New Roman" w:cs="Times New Roman"/>
          <w:b w:val="0"/>
          <w:color w:val="auto"/>
          <w:spacing w:val="5"/>
          <w:kern w:val="36"/>
          <w:sz w:val="24"/>
          <w:szCs w:val="24"/>
          <w:lang w:eastAsia="pt-BR"/>
        </w:rPr>
        <w:t xml:space="preserve"> </w:t>
      </w:r>
      <w:proofErr w:type="spellStart"/>
      <w:r w:rsidR="0012589D" w:rsidRPr="00AD4345">
        <w:rPr>
          <w:rFonts w:ascii="Times New Roman" w:hAnsi="Times New Roman" w:cs="Times New Roman"/>
          <w:b w:val="0"/>
          <w:color w:val="auto"/>
          <w:sz w:val="24"/>
          <w:szCs w:val="24"/>
        </w:rPr>
        <w:t>Evaluation</w:t>
      </w:r>
      <w:proofErr w:type="spellEnd"/>
      <w:r w:rsidR="0012589D" w:rsidRPr="00AD4345">
        <w:rPr>
          <w:rFonts w:ascii="Times New Roman" w:hAnsi="Times New Roman" w:cs="Times New Roman"/>
          <w:b w:val="0"/>
          <w:color w:val="auto"/>
          <w:sz w:val="24"/>
          <w:szCs w:val="24"/>
        </w:rPr>
        <w:t xml:space="preserve"> </w:t>
      </w:r>
      <w:proofErr w:type="spellStart"/>
      <w:r w:rsidR="0012589D" w:rsidRPr="00AD4345">
        <w:rPr>
          <w:rFonts w:ascii="Times New Roman" w:hAnsi="Times New Roman" w:cs="Times New Roman"/>
          <w:b w:val="0"/>
          <w:color w:val="auto"/>
          <w:sz w:val="24"/>
          <w:szCs w:val="24"/>
        </w:rPr>
        <w:t>and</w:t>
      </w:r>
      <w:proofErr w:type="spellEnd"/>
      <w:r w:rsidR="0012589D" w:rsidRPr="00AD4345">
        <w:rPr>
          <w:rFonts w:ascii="Times New Roman" w:hAnsi="Times New Roman" w:cs="Times New Roman"/>
          <w:b w:val="0"/>
          <w:color w:val="auto"/>
          <w:sz w:val="24"/>
          <w:szCs w:val="24"/>
        </w:rPr>
        <w:t xml:space="preserve"> </w:t>
      </w:r>
      <w:proofErr w:type="spellStart"/>
      <w:r w:rsidR="0012589D" w:rsidRPr="00AD4345">
        <w:rPr>
          <w:rFonts w:ascii="Times New Roman" w:hAnsi="Times New Roman" w:cs="Times New Roman"/>
          <w:b w:val="0"/>
          <w:color w:val="auto"/>
          <w:sz w:val="24"/>
          <w:szCs w:val="24"/>
        </w:rPr>
        <w:t>Decision</w:t>
      </w:r>
      <w:proofErr w:type="spellEnd"/>
      <w:r w:rsidR="0012589D" w:rsidRPr="00AD4345">
        <w:rPr>
          <w:rFonts w:ascii="Times New Roman" w:hAnsi="Times New Roman" w:cs="Times New Roman"/>
          <w:b w:val="0"/>
          <w:color w:val="auto"/>
          <w:sz w:val="24"/>
          <w:szCs w:val="24"/>
        </w:rPr>
        <w:t xml:space="preserve"> </w:t>
      </w:r>
      <w:proofErr w:type="spellStart"/>
      <w:r w:rsidR="0012589D" w:rsidRPr="00AD4345">
        <w:rPr>
          <w:rFonts w:ascii="Times New Roman" w:hAnsi="Times New Roman" w:cs="Times New Roman"/>
          <w:b w:val="0"/>
          <w:color w:val="auto"/>
          <w:sz w:val="24"/>
          <w:szCs w:val="24"/>
        </w:rPr>
        <w:t>Models</w:t>
      </w:r>
      <w:proofErr w:type="spellEnd"/>
      <w:r w:rsidR="0012589D" w:rsidRPr="00AD4345">
        <w:rPr>
          <w:rFonts w:ascii="Times New Roman" w:hAnsi="Times New Roman" w:cs="Times New Roman"/>
          <w:b w:val="0"/>
          <w:color w:val="auto"/>
          <w:sz w:val="24"/>
          <w:szCs w:val="24"/>
        </w:rPr>
        <w:t xml:space="preserve">: A </w:t>
      </w:r>
      <w:proofErr w:type="spellStart"/>
      <w:r w:rsidR="0012589D" w:rsidRPr="00AD4345">
        <w:rPr>
          <w:rFonts w:ascii="Times New Roman" w:hAnsi="Times New Roman" w:cs="Times New Roman"/>
          <w:b w:val="0"/>
          <w:color w:val="auto"/>
          <w:sz w:val="24"/>
          <w:szCs w:val="24"/>
        </w:rPr>
        <w:t>Critical</w:t>
      </w:r>
      <w:proofErr w:type="spellEnd"/>
      <w:r w:rsidR="0012589D" w:rsidRPr="00AD4345">
        <w:rPr>
          <w:rFonts w:ascii="Times New Roman" w:hAnsi="Times New Roman" w:cs="Times New Roman"/>
          <w:b w:val="0"/>
          <w:color w:val="auto"/>
          <w:sz w:val="24"/>
          <w:szCs w:val="24"/>
        </w:rPr>
        <w:t xml:space="preserve"> Perspective</w:t>
      </w:r>
      <w:r w:rsidR="00C03DBC" w:rsidRPr="00AD4345">
        <w:rPr>
          <w:rFonts w:ascii="Times New Roman" w:eastAsia="Times New Roman" w:hAnsi="Times New Roman" w:cs="Times New Roman"/>
          <w:b w:val="0"/>
          <w:color w:val="auto"/>
          <w:spacing w:val="5"/>
          <w:kern w:val="36"/>
          <w:sz w:val="24"/>
          <w:szCs w:val="24"/>
          <w:lang w:eastAsia="pt-BR"/>
        </w:rPr>
        <w:t xml:space="preserve">. </w:t>
      </w:r>
      <w:hyperlink r:id="rId12" w:history="1">
        <w:r w:rsidR="00FA2CC6" w:rsidRPr="00AD4345">
          <w:rPr>
            <w:rStyle w:val="Hyperlink"/>
            <w:rFonts w:ascii="Times New Roman" w:hAnsi="Times New Roman" w:cs="Times New Roman"/>
            <w:b w:val="0"/>
            <w:color w:val="auto"/>
            <w:sz w:val="24"/>
            <w:szCs w:val="24"/>
            <w:u w:val="none"/>
            <w:shd w:val="clear" w:color="auto" w:fill="FFFFFF"/>
          </w:rPr>
          <w:t>Springer Science &amp; Business Media</w:t>
        </w:r>
      </w:hyperlink>
      <w:r w:rsidR="0012589D" w:rsidRPr="00AD4345">
        <w:rPr>
          <w:rFonts w:ascii="Times New Roman" w:hAnsi="Times New Roman" w:cs="Times New Roman"/>
          <w:b w:val="0"/>
          <w:color w:val="auto"/>
          <w:sz w:val="24"/>
          <w:szCs w:val="24"/>
        </w:rPr>
        <w:t>, Massachusetts, Estados Unidos.</w:t>
      </w:r>
    </w:p>
    <w:p w:rsidR="00C03DBC" w:rsidRPr="00AD4345" w:rsidRDefault="00C03DBC" w:rsidP="00C03DBC">
      <w:pPr>
        <w:pStyle w:val="NormalWeb"/>
        <w:spacing w:before="0" w:beforeAutospacing="0" w:after="0" w:afterAutospacing="0"/>
        <w:jc w:val="both"/>
      </w:pPr>
    </w:p>
    <w:p w:rsidR="00C03DBC" w:rsidRPr="00AD4345" w:rsidRDefault="00AF5DC7" w:rsidP="00C03DBC">
      <w:pPr>
        <w:pStyle w:val="NormalWeb"/>
        <w:spacing w:before="0" w:beforeAutospacing="0" w:after="0" w:afterAutospacing="0"/>
        <w:jc w:val="both"/>
      </w:pPr>
      <w:proofErr w:type="spellStart"/>
      <w:r w:rsidRPr="00AD4345">
        <w:t>Bertolin</w:t>
      </w:r>
      <w:proofErr w:type="spellEnd"/>
      <w:r w:rsidR="00C03DBC" w:rsidRPr="00AD4345">
        <w:t>, J. C. G.</w:t>
      </w:r>
      <w:r w:rsidR="0012589D" w:rsidRPr="00AD4345">
        <w:t xml:space="preserve"> (2009)</w:t>
      </w:r>
      <w:r w:rsidR="000B2155" w:rsidRPr="00AD4345">
        <w:t>.</w:t>
      </w:r>
      <w:r w:rsidR="0012589D" w:rsidRPr="00AD4345">
        <w:t xml:space="preserve"> </w:t>
      </w:r>
      <w:r w:rsidR="00C03DBC" w:rsidRPr="00AD4345">
        <w:t xml:space="preserve">Avaliação Da Educação Superior Brasileira: Relevância, Diversidade, Equidade E Eficácia </w:t>
      </w:r>
      <w:r w:rsidR="0012589D" w:rsidRPr="00AD4345">
        <w:t>do Sistema e</w:t>
      </w:r>
      <w:r w:rsidR="00C03DBC" w:rsidRPr="00AD4345">
        <w:t>m Tempos de Mercantilização. Avaliação, Campinas</w:t>
      </w:r>
      <w:r w:rsidR="0012589D" w:rsidRPr="00AD4345">
        <w:t>, v. 14, n. 2, p. 267–290</w:t>
      </w:r>
      <w:r w:rsidR="00C03DBC" w:rsidRPr="00AD4345">
        <w:t>.</w:t>
      </w:r>
    </w:p>
    <w:p w:rsidR="00C03DBC" w:rsidRPr="00AD4345" w:rsidRDefault="00C03DBC" w:rsidP="00C03DBC">
      <w:pPr>
        <w:pStyle w:val="NormalWeb"/>
        <w:spacing w:before="0" w:beforeAutospacing="0" w:after="0" w:afterAutospacing="0"/>
        <w:jc w:val="both"/>
      </w:pPr>
    </w:p>
    <w:p w:rsidR="00C03DBC" w:rsidRPr="00AD4345" w:rsidRDefault="00AF5DC7" w:rsidP="00C03DBC">
      <w:pPr>
        <w:pStyle w:val="NormalWeb"/>
        <w:spacing w:before="0" w:beforeAutospacing="0" w:after="0" w:afterAutospacing="0"/>
        <w:jc w:val="both"/>
      </w:pPr>
      <w:proofErr w:type="spellStart"/>
      <w:r w:rsidRPr="00FC5BEA">
        <w:rPr>
          <w:lang w:val="en-US"/>
        </w:rPr>
        <w:t>Bittencourt</w:t>
      </w:r>
      <w:proofErr w:type="spellEnd"/>
      <w:r w:rsidR="00C03DBC" w:rsidRPr="00FC5BEA">
        <w:rPr>
          <w:lang w:val="en-US"/>
        </w:rPr>
        <w:t xml:space="preserve">, H. R. </w:t>
      </w:r>
      <w:r w:rsidR="00C03DBC" w:rsidRPr="00FC5BEA">
        <w:rPr>
          <w:i/>
          <w:iCs/>
          <w:lang w:val="en-US"/>
        </w:rPr>
        <w:t>et al</w:t>
      </w:r>
      <w:r w:rsidR="00C03DBC" w:rsidRPr="00FC5BEA">
        <w:rPr>
          <w:lang w:val="en-US"/>
        </w:rPr>
        <w:t>.</w:t>
      </w:r>
      <w:r w:rsidR="0012589D" w:rsidRPr="00FC5BEA">
        <w:rPr>
          <w:lang w:val="en-US"/>
        </w:rPr>
        <w:t xml:space="preserve"> </w:t>
      </w:r>
      <w:r w:rsidR="0012589D" w:rsidRPr="00AD4345">
        <w:t>(2010)</w:t>
      </w:r>
      <w:r w:rsidR="000B2155" w:rsidRPr="00AD4345">
        <w:t>.</w:t>
      </w:r>
      <w:r w:rsidR="00C03DBC" w:rsidRPr="00AD4345">
        <w:t xml:space="preserve"> Mudanças nos pesos do CPC e seu impacto nos resultados de avaliação em universidades federais e privadas.</w:t>
      </w:r>
      <w:r w:rsidR="0012589D" w:rsidRPr="00AD4345">
        <w:t xml:space="preserve"> </w:t>
      </w:r>
      <w:r w:rsidR="00C03DBC" w:rsidRPr="00AD4345">
        <w:t>Avaliação: Revista da Avaliação da Educação Superior, v. 15, n</w:t>
      </w:r>
      <w:r w:rsidR="0012589D" w:rsidRPr="00AD4345">
        <w:t>. 3, p. 147–166</w:t>
      </w:r>
      <w:r w:rsidR="00C03DBC" w:rsidRPr="00AD4345">
        <w:t xml:space="preserve">. </w:t>
      </w:r>
    </w:p>
    <w:p w:rsidR="00C03DBC" w:rsidRPr="00AD4345" w:rsidRDefault="00C03DBC" w:rsidP="00C03DBC">
      <w:pPr>
        <w:pStyle w:val="NormalWeb"/>
        <w:spacing w:before="0" w:beforeAutospacing="0" w:after="0" w:afterAutospacing="0"/>
        <w:jc w:val="both"/>
      </w:pPr>
    </w:p>
    <w:p w:rsidR="00C03DBC" w:rsidRPr="00AD4345" w:rsidRDefault="00C03DBC" w:rsidP="00C03DBC">
      <w:pPr>
        <w:pStyle w:val="NormalWeb"/>
        <w:spacing w:before="0" w:beforeAutospacing="0" w:after="0" w:afterAutospacing="0"/>
        <w:jc w:val="both"/>
      </w:pPr>
      <w:r w:rsidRPr="00AD4345">
        <w:t>BRA</w:t>
      </w:r>
      <w:r w:rsidR="00AF5DC7" w:rsidRPr="00AD4345">
        <w:t>SIL, MEC-Ministério da Educação</w:t>
      </w:r>
      <w:r w:rsidRPr="00AD4345">
        <w:t xml:space="preserve">. </w:t>
      </w:r>
      <w:r w:rsidR="0012589D" w:rsidRPr="00AD4345">
        <w:t>(2011)</w:t>
      </w:r>
      <w:r w:rsidR="000B2155" w:rsidRPr="00AD4345">
        <w:t>.</w:t>
      </w:r>
      <w:r w:rsidR="0012589D" w:rsidRPr="00AD4345">
        <w:t xml:space="preserve"> </w:t>
      </w:r>
      <w:r w:rsidRPr="00AD4345">
        <w:t>Manual dos</w:t>
      </w:r>
      <w:r w:rsidR="0012589D" w:rsidRPr="00AD4345">
        <w:t xml:space="preserve"> Indicadores de Qualidade 2011. Disponível </w:t>
      </w:r>
      <w:r w:rsidRPr="00AD4345">
        <w:t>em:</w:t>
      </w:r>
      <w:r w:rsidR="00720268" w:rsidRPr="00AD4345">
        <w:t>&lt;</w:t>
      </w:r>
      <w:r w:rsidR="00720268" w:rsidRPr="00AD4345">
        <w:rPr>
          <w:rFonts w:eastAsiaTheme="majorEastAsia"/>
        </w:rPr>
        <w:t xml:space="preserve"> </w:t>
      </w:r>
      <w:hyperlink r:id="rId13" w:history="1">
        <w:r w:rsidR="00720268" w:rsidRPr="00AD4345">
          <w:rPr>
            <w:rStyle w:val="Hyperlink"/>
            <w:rFonts w:eastAsiaTheme="majorEastAsia"/>
            <w:color w:val="auto"/>
            <w:u w:val="none"/>
          </w:rPr>
          <w:t>http://download.inep.gov.br/educacao_superior/enade/notas_tecnicas/2011/manual_indicadores_qualidade_2011_sem_logo.pdf</w:t>
        </w:r>
      </w:hyperlink>
      <w:r w:rsidR="00720268" w:rsidRPr="00AD4345">
        <w:rPr>
          <w:rStyle w:val="Hyperlink"/>
          <w:rFonts w:eastAsiaTheme="majorEastAsia"/>
          <w:color w:val="auto"/>
          <w:u w:val="none"/>
        </w:rPr>
        <w:t xml:space="preserve"> </w:t>
      </w:r>
      <w:r w:rsidR="0012589D" w:rsidRPr="00AD4345">
        <w:rPr>
          <w:rStyle w:val="Hyperlink"/>
          <w:rFonts w:eastAsiaTheme="majorEastAsia"/>
          <w:color w:val="auto"/>
          <w:u w:val="none"/>
        </w:rPr>
        <w:t>&gt;</w:t>
      </w:r>
      <w:r w:rsidRPr="00AD4345">
        <w:t>. Acesso em 23 de abril de 2014.</w:t>
      </w:r>
    </w:p>
    <w:p w:rsidR="00C03DBC" w:rsidRPr="00AD4345" w:rsidRDefault="00C03DBC" w:rsidP="00C03DBC">
      <w:pPr>
        <w:pStyle w:val="NormalWeb"/>
        <w:spacing w:before="0" w:beforeAutospacing="0" w:after="0" w:afterAutospacing="0"/>
        <w:jc w:val="both"/>
      </w:pPr>
    </w:p>
    <w:p w:rsidR="00C03DBC" w:rsidRPr="00AD4345" w:rsidRDefault="00C03DBC" w:rsidP="00C03DBC">
      <w:pPr>
        <w:pStyle w:val="NormalWeb"/>
        <w:spacing w:before="0" w:beforeAutospacing="0" w:after="0" w:afterAutospacing="0"/>
        <w:jc w:val="both"/>
      </w:pPr>
      <w:r w:rsidRPr="00AD4345">
        <w:t>BRASIL. MEC- Ministério da Educação.</w:t>
      </w:r>
      <w:r w:rsidR="0012589D" w:rsidRPr="00AD4345">
        <w:t xml:space="preserve"> (2008)</w:t>
      </w:r>
      <w:r w:rsidR="000B2155" w:rsidRPr="00AD4345">
        <w:t>.</w:t>
      </w:r>
      <w:r w:rsidRPr="00AD4345">
        <w:t xml:space="preserve"> Portaria Normativa n° 4. Regulamenta a aplicação do conceito preliminar de cursos superiores.</w:t>
      </w:r>
      <w:r w:rsidR="00720268" w:rsidRPr="00AD4345">
        <w:t xml:space="preserve"> Disponível em:&lt; </w:t>
      </w:r>
      <w:hyperlink r:id="rId14" w:history="1">
        <w:r w:rsidR="00720268" w:rsidRPr="00AD4345">
          <w:rPr>
            <w:rStyle w:val="Hyperlink"/>
            <w:color w:val="auto"/>
            <w:u w:val="none"/>
          </w:rPr>
          <w:t>http://sites.unasp.edu.br/portal/secretariageral/Documentos/BDE/2008-2/1036-07-08-08.pdf</w:t>
        </w:r>
      </w:hyperlink>
      <w:r w:rsidR="00720268" w:rsidRPr="00AD4345">
        <w:t xml:space="preserve">&gt; Acesso em: 25 de abril de 2014. </w:t>
      </w:r>
    </w:p>
    <w:p w:rsidR="00C03DBC" w:rsidRPr="00AD4345" w:rsidRDefault="00C03DBC" w:rsidP="00C03DBC">
      <w:pPr>
        <w:pStyle w:val="NormalWeb"/>
        <w:spacing w:before="0" w:beforeAutospacing="0" w:after="200" w:afterAutospacing="0"/>
        <w:jc w:val="both"/>
      </w:pPr>
    </w:p>
    <w:p w:rsidR="00C03DBC" w:rsidRPr="00AD4345" w:rsidRDefault="00C03DBC" w:rsidP="00C03DBC">
      <w:pPr>
        <w:pStyle w:val="NormalWeb"/>
        <w:spacing w:before="0" w:beforeAutospacing="0" w:after="200" w:afterAutospacing="0"/>
        <w:jc w:val="both"/>
      </w:pPr>
      <w:r w:rsidRPr="00AD4345">
        <w:t xml:space="preserve">BRASIL. MEC- Ministério da Educação. </w:t>
      </w:r>
      <w:r w:rsidR="00720268" w:rsidRPr="00AD4345">
        <w:t>(2004)</w:t>
      </w:r>
      <w:r w:rsidR="000B2155" w:rsidRPr="00AD4345">
        <w:t>.</w:t>
      </w:r>
      <w:r w:rsidR="00720268" w:rsidRPr="00AD4345">
        <w:t xml:space="preserve"> </w:t>
      </w:r>
      <w:r w:rsidRPr="00AD4345">
        <w:t xml:space="preserve">Lei Nº 10.861. Institui o sistema nacional de avaliação da educação superior – SINAES e dá outras providências. </w:t>
      </w:r>
      <w:r w:rsidR="00720268" w:rsidRPr="00AD4345">
        <w:t xml:space="preserve">Disponível em:&lt; </w:t>
      </w:r>
      <w:hyperlink r:id="rId15" w:history="1">
        <w:r w:rsidR="00720268" w:rsidRPr="00AD4345">
          <w:rPr>
            <w:rStyle w:val="Hyperlink"/>
            <w:color w:val="auto"/>
            <w:u w:val="none"/>
          </w:rPr>
          <w:t>http://www.planalto.gov.br/ccivil_03/_ato2004-2006/2004/lei/l10.861.htm</w:t>
        </w:r>
      </w:hyperlink>
      <w:r w:rsidR="00720268" w:rsidRPr="00AD4345">
        <w:t>&gt;. Acesso em: 25 de abril de 2014.</w:t>
      </w:r>
      <w:r w:rsidRPr="00AD4345">
        <w:t xml:space="preserve"> </w:t>
      </w:r>
    </w:p>
    <w:p w:rsidR="00C03DBC" w:rsidRPr="00AD4345" w:rsidRDefault="00C03DBC" w:rsidP="00C03DBC">
      <w:pPr>
        <w:pStyle w:val="NormalWeb"/>
        <w:spacing w:before="0" w:beforeAutospacing="0" w:after="0" w:afterAutospacing="0"/>
        <w:jc w:val="both"/>
        <w:rPr>
          <w:shd w:val="clear" w:color="auto" w:fill="FFFFFF"/>
        </w:rPr>
      </w:pPr>
    </w:p>
    <w:p w:rsidR="00C03DBC" w:rsidRPr="00AD4345" w:rsidRDefault="00AF5DC7" w:rsidP="00C03DBC">
      <w:pPr>
        <w:pStyle w:val="NormalWeb"/>
        <w:spacing w:before="0" w:beforeAutospacing="0" w:after="0" w:afterAutospacing="0"/>
        <w:jc w:val="both"/>
      </w:pPr>
      <w:r w:rsidRPr="00AD4345">
        <w:t xml:space="preserve">Dias, C. L.; </w:t>
      </w:r>
      <w:proofErr w:type="spellStart"/>
      <w:r w:rsidRPr="00AD4345">
        <w:t>Horiguela</w:t>
      </w:r>
      <w:proofErr w:type="spellEnd"/>
      <w:r w:rsidRPr="00AD4345">
        <w:t xml:space="preserve"> M. M.; </w:t>
      </w:r>
      <w:proofErr w:type="spellStart"/>
      <w:r w:rsidRPr="00AD4345">
        <w:t>Marchelli</w:t>
      </w:r>
      <w:proofErr w:type="spellEnd"/>
      <w:r w:rsidRPr="00AD4345">
        <w:t xml:space="preserve"> </w:t>
      </w:r>
      <w:r w:rsidR="00C03DBC" w:rsidRPr="00AD4345">
        <w:t xml:space="preserve">P. S. </w:t>
      </w:r>
      <w:r w:rsidR="00720268" w:rsidRPr="00AD4345">
        <w:t>(2006)</w:t>
      </w:r>
      <w:r w:rsidR="000B2155" w:rsidRPr="00AD4345">
        <w:t>.</w:t>
      </w:r>
      <w:r w:rsidR="00720268" w:rsidRPr="00AD4345">
        <w:t xml:space="preserve"> </w:t>
      </w:r>
      <w:r w:rsidR="00C03DBC" w:rsidRPr="00AD4345">
        <w:t>Políticas para avaliação da qualidade do Ensino Superior no Brasil: um balanço crítico. Educação e Pesquisa,</w:t>
      </w:r>
      <w:proofErr w:type="gramStart"/>
      <w:r w:rsidR="00C03DBC" w:rsidRPr="00AD4345">
        <w:t xml:space="preserve">  </w:t>
      </w:r>
      <w:proofErr w:type="gramEnd"/>
      <w:r w:rsidR="00C03DBC" w:rsidRPr="00AD4345">
        <w:t xml:space="preserve">v.32, </w:t>
      </w:r>
      <w:r w:rsidR="00720268" w:rsidRPr="00AD4345">
        <w:t>n.3, p. 435-464.</w:t>
      </w:r>
    </w:p>
    <w:p w:rsidR="00C03DBC" w:rsidRPr="00AD4345" w:rsidRDefault="00C03DBC" w:rsidP="00C03DBC">
      <w:pPr>
        <w:pStyle w:val="NormalWeb"/>
        <w:spacing w:before="0" w:beforeAutospacing="0" w:after="0" w:afterAutospacing="0"/>
        <w:jc w:val="both"/>
      </w:pPr>
    </w:p>
    <w:p w:rsidR="00C03DBC" w:rsidRPr="00AD4345" w:rsidRDefault="00AF5DC7" w:rsidP="00C03DBC">
      <w:pPr>
        <w:pStyle w:val="NormalWeb"/>
        <w:spacing w:before="0" w:beforeAutospacing="0" w:after="0" w:afterAutospacing="0"/>
        <w:jc w:val="both"/>
      </w:pPr>
      <w:r w:rsidRPr="00AD4345">
        <w:t xml:space="preserve">Freitas, A. L. P., Rodrigues, S. G., E Costa, H. </w:t>
      </w:r>
      <w:r w:rsidR="00C03DBC" w:rsidRPr="00AD4345">
        <w:t>G.</w:t>
      </w:r>
      <w:r w:rsidR="00720268" w:rsidRPr="00AD4345">
        <w:t xml:space="preserve"> (2009)</w:t>
      </w:r>
      <w:r w:rsidR="00A358D1" w:rsidRPr="00AD4345">
        <w:t>.</w:t>
      </w:r>
      <w:r w:rsidR="00C03DBC" w:rsidRPr="00AD4345">
        <w:t xml:space="preserve"> Emprego de Uma Abordagem Multicritério Para Classificação do Desempenho de Insti</w:t>
      </w:r>
      <w:r w:rsidR="00720268" w:rsidRPr="00AD4345">
        <w:t xml:space="preserve">tuições de Ensino Superior. </w:t>
      </w:r>
      <w:r w:rsidR="00C03DBC" w:rsidRPr="00AD4345">
        <w:t xml:space="preserve">Ensaio: Avaliação e Políticas Públicas em Educação </w:t>
      </w:r>
      <w:r w:rsidR="00720268" w:rsidRPr="00AD4345">
        <w:t xml:space="preserve">vol. </w:t>
      </w:r>
      <w:r w:rsidR="00C03DBC" w:rsidRPr="00AD4345">
        <w:t>17</w:t>
      </w:r>
      <w:r w:rsidR="00720268" w:rsidRPr="00AD4345">
        <w:t>, n.</w:t>
      </w:r>
      <w:r w:rsidR="00C03DBC" w:rsidRPr="00AD4345">
        <w:t>65</w:t>
      </w:r>
      <w:r w:rsidR="00720268" w:rsidRPr="00AD4345">
        <w:t>, p. 655–674.</w:t>
      </w:r>
    </w:p>
    <w:p w:rsidR="00C03DBC" w:rsidRPr="00AF5DC7" w:rsidRDefault="00C03DBC" w:rsidP="00C03DBC">
      <w:pPr>
        <w:pStyle w:val="NormalWeb"/>
        <w:spacing w:before="0" w:beforeAutospacing="0" w:after="0" w:afterAutospacing="0"/>
        <w:jc w:val="both"/>
        <w:rPr>
          <w:rFonts w:eastAsiaTheme="minorHAnsi"/>
          <w:lang w:eastAsia="en-US"/>
        </w:rPr>
      </w:pPr>
    </w:p>
    <w:p w:rsidR="00C03DBC" w:rsidRPr="00AF5DC7" w:rsidRDefault="00AF5DC7" w:rsidP="00C03DBC">
      <w:pPr>
        <w:pStyle w:val="NormalWeb"/>
        <w:spacing w:before="0" w:beforeAutospacing="0" w:after="0" w:afterAutospacing="0"/>
        <w:jc w:val="both"/>
      </w:pPr>
      <w:r w:rsidRPr="00AF5DC7">
        <w:rPr>
          <w:rFonts w:eastAsiaTheme="minorHAnsi"/>
          <w:lang w:eastAsia="en-US"/>
        </w:rPr>
        <w:t>Freitas, A.</w:t>
      </w:r>
      <w:r w:rsidR="001F5DE3">
        <w:rPr>
          <w:color w:val="000000"/>
        </w:rPr>
        <w:t>L. P. e</w:t>
      </w:r>
      <w:r w:rsidRPr="00AF5DC7">
        <w:rPr>
          <w:color w:val="000000"/>
        </w:rPr>
        <w:t xml:space="preserve"> Silva, V. B</w:t>
      </w:r>
      <w:r w:rsidR="00C03DBC" w:rsidRPr="00AF5DC7">
        <w:rPr>
          <w:color w:val="000000"/>
        </w:rPr>
        <w:t xml:space="preserve">. </w:t>
      </w:r>
      <w:r w:rsidR="00A358D1" w:rsidRPr="00AF5DC7">
        <w:rPr>
          <w:color w:val="000000"/>
        </w:rPr>
        <w:t xml:space="preserve">(2014). </w:t>
      </w:r>
      <w:r w:rsidR="00C03DBC" w:rsidRPr="00AF5DC7">
        <w:rPr>
          <w:color w:val="000000"/>
        </w:rPr>
        <w:t>Avaliação e classificação de instituições de ensino médio: um estudo exploratório. Educ</w:t>
      </w:r>
      <w:r w:rsidR="00A358D1" w:rsidRPr="00AF5DC7">
        <w:rPr>
          <w:color w:val="000000"/>
        </w:rPr>
        <w:t>ação e</w:t>
      </w:r>
      <w:r w:rsidR="00C03DBC" w:rsidRPr="00AF5DC7">
        <w:rPr>
          <w:color w:val="000000"/>
        </w:rPr>
        <w:t xml:space="preserve"> Pesqui</w:t>
      </w:r>
      <w:r w:rsidR="00A358D1" w:rsidRPr="00AF5DC7">
        <w:rPr>
          <w:color w:val="000000"/>
        </w:rPr>
        <w:t>sa</w:t>
      </w:r>
      <w:r w:rsidR="00C03DBC" w:rsidRPr="00AF5DC7">
        <w:rPr>
          <w:color w:val="000000"/>
        </w:rPr>
        <w:t>,</w:t>
      </w:r>
      <w:r w:rsidR="00A358D1" w:rsidRPr="00AF5DC7">
        <w:rPr>
          <w:color w:val="000000"/>
        </w:rPr>
        <w:t xml:space="preserve"> vol. 40, n.1, p. 29-47</w:t>
      </w:r>
      <w:r w:rsidR="00C03DBC" w:rsidRPr="00AF5DC7">
        <w:rPr>
          <w:color w:val="000000"/>
        </w:rPr>
        <w:t>.</w:t>
      </w:r>
    </w:p>
    <w:p w:rsidR="00C03DBC" w:rsidRPr="00AF5DC7" w:rsidRDefault="00C03DBC" w:rsidP="00C03DBC">
      <w:pPr>
        <w:pStyle w:val="NormalWeb"/>
        <w:spacing w:before="0" w:beforeAutospacing="0" w:after="200" w:afterAutospacing="0"/>
        <w:jc w:val="both"/>
      </w:pPr>
    </w:p>
    <w:p w:rsidR="00C03DBC" w:rsidRPr="00AF5DC7" w:rsidRDefault="001F5DE3" w:rsidP="00C03DBC">
      <w:pPr>
        <w:pStyle w:val="NormalWeb"/>
        <w:spacing w:before="0" w:beforeAutospacing="0" w:after="200" w:afterAutospacing="0"/>
        <w:jc w:val="both"/>
      </w:pPr>
      <w:r w:rsidRPr="00AF5DC7">
        <w:t>Hora</w:t>
      </w:r>
      <w:r w:rsidR="00C03DBC" w:rsidRPr="00AF5DC7">
        <w:t>, H</w:t>
      </w:r>
      <w:r>
        <w:t>.</w:t>
      </w:r>
      <w:r w:rsidR="00C03DBC" w:rsidRPr="00AF5DC7">
        <w:t xml:space="preserve"> R</w:t>
      </w:r>
      <w:r>
        <w:t>.</w:t>
      </w:r>
      <w:r w:rsidR="00C03DBC" w:rsidRPr="00AF5DC7">
        <w:t xml:space="preserve"> M</w:t>
      </w:r>
      <w:r>
        <w:t>.</w:t>
      </w:r>
      <w:r w:rsidR="00C03DBC" w:rsidRPr="00AF5DC7">
        <w:t xml:space="preserve"> </w:t>
      </w:r>
      <w:r w:rsidR="00A358D1" w:rsidRPr="00AF5DC7">
        <w:t xml:space="preserve">(2013). </w:t>
      </w:r>
      <w:r w:rsidR="00C03DBC" w:rsidRPr="00AF5DC7">
        <w:t>Método de escolha múltipla: uma proposta multicritério para a seleção em conjuntos de mais de uma alternativa. Universidade Federal Flum</w:t>
      </w:r>
      <w:r w:rsidR="00A358D1" w:rsidRPr="00AF5DC7">
        <w:t>inense. Tese de Doutorado, Escola de Engenharia, programa de pós-graduação em Engenharia de Produção.</w:t>
      </w:r>
    </w:p>
    <w:p w:rsidR="00C03DBC" w:rsidRPr="00AF5DC7" w:rsidRDefault="00C03DBC" w:rsidP="00C03DBC">
      <w:pPr>
        <w:pStyle w:val="NormalWeb"/>
        <w:spacing w:before="0" w:beforeAutospacing="0" w:after="0" w:afterAutospacing="0"/>
        <w:jc w:val="both"/>
        <w:rPr>
          <w:color w:val="000000"/>
        </w:rPr>
      </w:pPr>
    </w:p>
    <w:p w:rsidR="00C03DBC" w:rsidRPr="00AF5DC7" w:rsidRDefault="001F5DE3" w:rsidP="00C03DBC">
      <w:pPr>
        <w:pStyle w:val="NormalWeb"/>
        <w:spacing w:before="0" w:beforeAutospacing="0" w:after="0" w:afterAutospacing="0"/>
        <w:jc w:val="both"/>
        <w:rPr>
          <w:color w:val="000000"/>
        </w:rPr>
      </w:pPr>
      <w:proofErr w:type="spellStart"/>
      <w:r w:rsidRPr="00AF5DC7">
        <w:rPr>
          <w:color w:val="000000"/>
        </w:rPr>
        <w:t>Mazon</w:t>
      </w:r>
      <w:proofErr w:type="spellEnd"/>
      <w:r w:rsidR="00C03DBC" w:rsidRPr="00AF5DC7">
        <w:rPr>
          <w:color w:val="000000"/>
        </w:rPr>
        <w:t xml:space="preserve">, G. </w:t>
      </w:r>
      <w:proofErr w:type="gramStart"/>
      <w:r w:rsidR="00C03DBC" w:rsidRPr="00AF5DC7">
        <w:rPr>
          <w:i/>
          <w:iCs/>
          <w:color w:val="000000"/>
        </w:rPr>
        <w:t>et</w:t>
      </w:r>
      <w:proofErr w:type="gramEnd"/>
      <w:r w:rsidR="00C03DBC" w:rsidRPr="00AF5DC7">
        <w:rPr>
          <w:i/>
          <w:iCs/>
          <w:color w:val="000000"/>
        </w:rPr>
        <w:t xml:space="preserve"> al</w:t>
      </w:r>
      <w:r w:rsidR="00C03DBC" w:rsidRPr="00AF5DC7">
        <w:rPr>
          <w:color w:val="000000"/>
        </w:rPr>
        <w:t>.</w:t>
      </w:r>
      <w:r w:rsidR="00A358D1" w:rsidRPr="00AF5DC7">
        <w:rPr>
          <w:color w:val="000000"/>
        </w:rPr>
        <w:t xml:space="preserve"> (2010).</w:t>
      </w:r>
      <w:r w:rsidR="00C03DBC" w:rsidRPr="00AF5DC7">
        <w:rPr>
          <w:color w:val="000000"/>
        </w:rPr>
        <w:t xml:space="preserve"> MCDA Para Avaliar O Desempenho de Um Curso de Pós-Graduação.</w:t>
      </w:r>
      <w:r w:rsidR="00A358D1" w:rsidRPr="00AF5DC7">
        <w:rPr>
          <w:color w:val="000000"/>
        </w:rPr>
        <w:t xml:space="preserve"> </w:t>
      </w:r>
      <w:r w:rsidR="00C03DBC" w:rsidRPr="00AF5DC7">
        <w:rPr>
          <w:color w:val="000000"/>
        </w:rPr>
        <w:t>Revista</w:t>
      </w:r>
      <w:r w:rsidR="00A358D1" w:rsidRPr="00AF5DC7">
        <w:rPr>
          <w:color w:val="000000"/>
        </w:rPr>
        <w:t xml:space="preserve"> </w:t>
      </w:r>
      <w:r w:rsidR="00C03DBC" w:rsidRPr="00AF5DC7">
        <w:rPr>
          <w:color w:val="000000"/>
        </w:rPr>
        <w:t>Pensamento</w:t>
      </w:r>
      <w:r w:rsidR="00A358D1" w:rsidRPr="00AF5DC7">
        <w:rPr>
          <w:color w:val="000000"/>
        </w:rPr>
        <w:t xml:space="preserve"> </w:t>
      </w:r>
      <w:r w:rsidR="00C03DBC" w:rsidRPr="00AF5DC7">
        <w:rPr>
          <w:color w:val="000000"/>
        </w:rPr>
        <w:t>Contemporâneo</w:t>
      </w:r>
      <w:r w:rsidR="00A358D1" w:rsidRPr="00AF5DC7">
        <w:rPr>
          <w:color w:val="000000"/>
        </w:rPr>
        <w:t xml:space="preserve"> </w:t>
      </w:r>
      <w:r w:rsidR="00C03DBC" w:rsidRPr="00AF5DC7">
        <w:rPr>
          <w:color w:val="000000"/>
        </w:rPr>
        <w:t>em</w:t>
      </w:r>
      <w:r w:rsidR="00A358D1" w:rsidRPr="00AF5DC7">
        <w:rPr>
          <w:color w:val="000000"/>
        </w:rPr>
        <w:t xml:space="preserve"> </w:t>
      </w:r>
      <w:r w:rsidR="00C03DBC" w:rsidRPr="00AF5DC7">
        <w:rPr>
          <w:color w:val="000000"/>
        </w:rPr>
        <w:t>Administração</w:t>
      </w:r>
      <w:r w:rsidR="00A358D1" w:rsidRPr="00AF5DC7">
        <w:rPr>
          <w:color w:val="000000"/>
        </w:rPr>
        <w:t>,</w:t>
      </w:r>
      <w:r w:rsidR="00C03DBC" w:rsidRPr="00AF5DC7">
        <w:rPr>
          <w:color w:val="000000"/>
        </w:rPr>
        <w:t xml:space="preserve"> </w:t>
      </w:r>
      <w:r w:rsidR="00A358D1" w:rsidRPr="00AF5DC7">
        <w:rPr>
          <w:color w:val="000000"/>
        </w:rPr>
        <w:t>v.</w:t>
      </w:r>
      <w:r w:rsidR="00C03DBC" w:rsidRPr="00AF5DC7">
        <w:rPr>
          <w:color w:val="000000"/>
        </w:rPr>
        <w:t>4</w:t>
      </w:r>
      <w:r w:rsidR="00A358D1" w:rsidRPr="00AF5DC7">
        <w:rPr>
          <w:color w:val="000000"/>
        </w:rPr>
        <w:t>, n.</w:t>
      </w:r>
      <w:r w:rsidR="00C03DBC" w:rsidRPr="00AF5DC7">
        <w:rPr>
          <w:color w:val="000000"/>
        </w:rPr>
        <w:t>3</w:t>
      </w:r>
      <w:r w:rsidR="00A358D1" w:rsidRPr="00AF5DC7">
        <w:rPr>
          <w:color w:val="000000"/>
        </w:rPr>
        <w:t>, p.</w:t>
      </w:r>
      <w:r w:rsidR="00C03DBC" w:rsidRPr="00AF5DC7">
        <w:rPr>
          <w:color w:val="000000"/>
        </w:rPr>
        <w:t xml:space="preserve"> 1</w:t>
      </w:r>
      <w:r w:rsidR="00A358D1" w:rsidRPr="00AF5DC7">
        <w:rPr>
          <w:color w:val="000000"/>
        </w:rPr>
        <w:t>–11.</w:t>
      </w:r>
    </w:p>
    <w:p w:rsidR="00C03DBC" w:rsidRPr="00AF5DC7" w:rsidRDefault="00C03DBC" w:rsidP="00C03DBC">
      <w:pPr>
        <w:pStyle w:val="NormalWeb"/>
        <w:spacing w:before="0" w:beforeAutospacing="0" w:after="0" w:afterAutospacing="0"/>
        <w:jc w:val="both"/>
        <w:rPr>
          <w:shd w:val="clear" w:color="auto" w:fill="FFFFFF"/>
        </w:rPr>
      </w:pPr>
    </w:p>
    <w:p w:rsidR="00C03DBC" w:rsidRPr="00AF5DC7" w:rsidRDefault="001F5DE3" w:rsidP="00C03DBC">
      <w:pPr>
        <w:pStyle w:val="NormalWeb"/>
        <w:spacing w:before="0" w:beforeAutospacing="0" w:after="0" w:afterAutospacing="0"/>
        <w:jc w:val="both"/>
      </w:pPr>
      <w:r>
        <w:rPr>
          <w:color w:val="000000"/>
        </w:rPr>
        <w:t>Miranda, C. M. G. e</w:t>
      </w:r>
      <w:r w:rsidRPr="00AF5DC7">
        <w:rPr>
          <w:color w:val="000000"/>
        </w:rPr>
        <w:t xml:space="preserve"> Almeida, </w:t>
      </w:r>
      <w:r w:rsidR="00C03DBC" w:rsidRPr="00AF5DC7">
        <w:rPr>
          <w:color w:val="000000"/>
        </w:rPr>
        <w:t>A. T.</w:t>
      </w:r>
      <w:r w:rsidR="00451D2E" w:rsidRPr="00AF5DC7">
        <w:rPr>
          <w:color w:val="000000"/>
        </w:rPr>
        <w:t xml:space="preserve"> (2004).</w:t>
      </w:r>
      <w:r w:rsidR="00C03DBC" w:rsidRPr="00AF5DC7">
        <w:rPr>
          <w:color w:val="000000"/>
        </w:rPr>
        <w:t xml:space="preserve"> Visão Multicritério da Avaliação de Programas de Pós-Graduação pela CAPES: O Caso da Área Engenharia III baseado Nos</w:t>
      </w:r>
      <w:r w:rsidR="00451D2E" w:rsidRPr="00AF5DC7">
        <w:rPr>
          <w:color w:val="000000"/>
        </w:rPr>
        <w:t xml:space="preserve"> Métodos ELECTRE II E MAUT. </w:t>
      </w:r>
      <w:r w:rsidR="00C03DBC" w:rsidRPr="00AF5DC7">
        <w:rPr>
          <w:color w:val="000000"/>
        </w:rPr>
        <w:t>Gestão e Produção</w:t>
      </w:r>
      <w:r w:rsidR="00451D2E" w:rsidRPr="00AF5DC7">
        <w:rPr>
          <w:color w:val="000000"/>
        </w:rPr>
        <w:t>,</w:t>
      </w:r>
      <w:r w:rsidR="00C03DBC" w:rsidRPr="00AF5DC7">
        <w:rPr>
          <w:color w:val="000000"/>
        </w:rPr>
        <w:t xml:space="preserve"> </w:t>
      </w:r>
      <w:r w:rsidR="00451D2E" w:rsidRPr="00AF5DC7">
        <w:rPr>
          <w:color w:val="000000"/>
        </w:rPr>
        <w:t>vol.</w:t>
      </w:r>
      <w:r w:rsidR="00C03DBC" w:rsidRPr="00AF5DC7">
        <w:rPr>
          <w:color w:val="000000"/>
        </w:rPr>
        <w:t>11</w:t>
      </w:r>
      <w:r w:rsidR="00451D2E" w:rsidRPr="00AF5DC7">
        <w:rPr>
          <w:color w:val="000000"/>
        </w:rPr>
        <w:t>, n.</w:t>
      </w:r>
      <w:r w:rsidR="00C03DBC" w:rsidRPr="00AF5DC7">
        <w:rPr>
          <w:color w:val="000000"/>
        </w:rPr>
        <w:t>1</w:t>
      </w:r>
      <w:r w:rsidR="00451D2E" w:rsidRPr="00AF5DC7">
        <w:rPr>
          <w:color w:val="000000"/>
        </w:rPr>
        <w:t>,</w:t>
      </w:r>
      <w:r w:rsidR="00C03DBC" w:rsidRPr="00AF5DC7">
        <w:rPr>
          <w:color w:val="000000"/>
        </w:rPr>
        <w:t xml:space="preserve"> </w:t>
      </w:r>
      <w:r w:rsidR="00451D2E" w:rsidRPr="00AF5DC7">
        <w:rPr>
          <w:color w:val="000000"/>
        </w:rPr>
        <w:t xml:space="preserve">p. </w:t>
      </w:r>
      <w:r w:rsidR="00C03DBC" w:rsidRPr="00AF5DC7">
        <w:rPr>
          <w:color w:val="000000"/>
        </w:rPr>
        <w:t>51–64.</w:t>
      </w:r>
    </w:p>
    <w:p w:rsidR="00C03DBC" w:rsidRPr="00AF5DC7" w:rsidRDefault="00C03DBC" w:rsidP="00C03DBC">
      <w:pPr>
        <w:pStyle w:val="NormalWeb"/>
        <w:spacing w:before="0" w:beforeAutospacing="0" w:after="0" w:afterAutospacing="0"/>
        <w:jc w:val="both"/>
      </w:pPr>
    </w:p>
    <w:p w:rsidR="00C03DBC" w:rsidRPr="00AF5DC7" w:rsidRDefault="001F5DE3" w:rsidP="00C03DBC">
      <w:pPr>
        <w:pStyle w:val="NormalWeb"/>
        <w:spacing w:before="0" w:beforeAutospacing="0" w:after="200" w:afterAutospacing="0"/>
        <w:jc w:val="both"/>
        <w:rPr>
          <w:color w:val="000000"/>
        </w:rPr>
      </w:pPr>
      <w:r w:rsidRPr="00AF5DC7">
        <w:rPr>
          <w:color w:val="000000"/>
        </w:rPr>
        <w:t>Miranda, C. M. G.</w:t>
      </w:r>
      <w:r>
        <w:rPr>
          <w:color w:val="000000"/>
        </w:rPr>
        <w:t xml:space="preserve"> e Almeida, A. T.</w:t>
      </w:r>
      <w:r w:rsidR="00451D2E" w:rsidRPr="00AF5DC7">
        <w:rPr>
          <w:color w:val="000000"/>
        </w:rPr>
        <w:t xml:space="preserve"> (2003).</w:t>
      </w:r>
      <w:r w:rsidR="00C03DBC" w:rsidRPr="00AF5DC7">
        <w:rPr>
          <w:color w:val="000000"/>
        </w:rPr>
        <w:t xml:space="preserve"> Avaliação de pós-graduação com método ELECTRE TRI – o caso de Engenharias III da CAPES. Revista Produção, v. 13, n. 3,</w:t>
      </w:r>
      <w:r w:rsidR="00451D2E" w:rsidRPr="00AF5DC7">
        <w:rPr>
          <w:color w:val="000000"/>
        </w:rPr>
        <w:t xml:space="preserve"> </w:t>
      </w:r>
      <w:r w:rsidR="00C03DBC" w:rsidRPr="00AF5DC7">
        <w:rPr>
          <w:color w:val="000000"/>
        </w:rPr>
        <w:t xml:space="preserve">p. 101-112. </w:t>
      </w:r>
    </w:p>
    <w:p w:rsidR="00C03DBC" w:rsidRPr="00AF5DC7" w:rsidRDefault="001F5DE3" w:rsidP="00C03DBC">
      <w:pPr>
        <w:pStyle w:val="NormalWeb"/>
        <w:spacing w:before="0" w:beforeAutospacing="0" w:after="200" w:afterAutospacing="0"/>
        <w:jc w:val="both"/>
        <w:rPr>
          <w:color w:val="000000"/>
        </w:rPr>
      </w:pPr>
      <w:bookmarkStart w:id="16" w:name="_GoBack"/>
      <w:bookmarkEnd w:id="16"/>
      <w:r>
        <w:rPr>
          <w:color w:val="000000"/>
        </w:rPr>
        <w:t>Neves, R. B. e</w:t>
      </w:r>
      <w:r w:rsidRPr="00AF5DC7">
        <w:rPr>
          <w:color w:val="000000"/>
        </w:rPr>
        <w:t xml:space="preserve"> Costa, H. G. (</w:t>
      </w:r>
      <w:r w:rsidR="00451D2E" w:rsidRPr="00AF5DC7">
        <w:rPr>
          <w:color w:val="000000"/>
        </w:rPr>
        <w:t xml:space="preserve">2006). </w:t>
      </w:r>
      <w:r w:rsidR="00C03DBC" w:rsidRPr="00AF5DC7">
        <w:rPr>
          <w:color w:val="000000"/>
        </w:rPr>
        <w:t xml:space="preserve">Avaliação de Programas de Pós-Graduação: </w:t>
      </w:r>
      <w:proofErr w:type="gramStart"/>
      <w:r w:rsidR="00C03DBC" w:rsidRPr="00AF5DC7">
        <w:rPr>
          <w:color w:val="000000"/>
        </w:rPr>
        <w:t>Proposta Baseada na Integração ELECTRE TRI, SWOT e Sistema CAPES</w:t>
      </w:r>
      <w:proofErr w:type="gramEnd"/>
      <w:r w:rsidR="00C03DBC" w:rsidRPr="00AF5DC7">
        <w:rPr>
          <w:color w:val="000000"/>
        </w:rPr>
        <w:t xml:space="preserve">. Sistemas &amp; Gestão </w:t>
      </w:r>
      <w:r w:rsidR="00451D2E" w:rsidRPr="00AF5DC7">
        <w:rPr>
          <w:color w:val="000000"/>
        </w:rPr>
        <w:t>vol.</w:t>
      </w:r>
      <w:r w:rsidR="00C03DBC" w:rsidRPr="00AF5DC7">
        <w:rPr>
          <w:color w:val="000000"/>
        </w:rPr>
        <w:t>1</w:t>
      </w:r>
      <w:r w:rsidR="00451D2E" w:rsidRPr="00AF5DC7">
        <w:rPr>
          <w:color w:val="000000"/>
        </w:rPr>
        <w:t>, n.</w:t>
      </w:r>
      <w:r w:rsidR="00C03DBC" w:rsidRPr="00AF5DC7">
        <w:rPr>
          <w:color w:val="000000"/>
        </w:rPr>
        <w:t>3</w:t>
      </w:r>
      <w:r w:rsidR="00451D2E" w:rsidRPr="00AF5DC7">
        <w:rPr>
          <w:color w:val="000000"/>
        </w:rPr>
        <w:t>, p. 276–298.</w:t>
      </w:r>
    </w:p>
    <w:p w:rsidR="00451D2E" w:rsidRPr="00BD2180" w:rsidRDefault="001F5DE3" w:rsidP="00451D2E">
      <w:pPr>
        <w:pStyle w:val="NormalWeb"/>
        <w:spacing w:before="0" w:beforeAutospacing="0" w:after="0" w:afterAutospacing="0"/>
        <w:jc w:val="both"/>
        <w:rPr>
          <w:color w:val="1F1F1F"/>
          <w:lang w:val="en-US"/>
        </w:rPr>
      </w:pPr>
      <w:r w:rsidRPr="00AF5DC7">
        <w:rPr>
          <w:shd w:val="clear" w:color="auto" w:fill="FFFFFF"/>
        </w:rPr>
        <w:t xml:space="preserve">Pedrosa, R. H. L.; Amaral E. M.; </w:t>
      </w:r>
      <w:proofErr w:type="spellStart"/>
      <w:r w:rsidRPr="00AF5DC7">
        <w:rPr>
          <w:shd w:val="clear" w:color="auto" w:fill="FFFFFF"/>
        </w:rPr>
        <w:t>Knobel</w:t>
      </w:r>
      <w:proofErr w:type="spellEnd"/>
      <w:r w:rsidRPr="00AF5DC7">
        <w:rPr>
          <w:shd w:val="clear" w:color="auto" w:fill="FFFFFF"/>
        </w:rPr>
        <w:t xml:space="preserve"> M</w:t>
      </w:r>
      <w:r w:rsidR="00C03DBC" w:rsidRPr="00AF5DC7">
        <w:rPr>
          <w:shd w:val="clear" w:color="auto" w:fill="FFFFFF"/>
        </w:rPr>
        <w:t xml:space="preserve">. </w:t>
      </w:r>
      <w:r w:rsidR="00451D2E" w:rsidRPr="00AF5DC7">
        <w:rPr>
          <w:shd w:val="clear" w:color="auto" w:fill="FFFFFF"/>
        </w:rPr>
        <w:t xml:space="preserve">(2013). </w:t>
      </w:r>
      <w:proofErr w:type="gramStart"/>
      <w:r w:rsidR="00451D2E" w:rsidRPr="00AF5DC7">
        <w:rPr>
          <w:color w:val="1F1F1F"/>
          <w:lang w:val="en-US"/>
        </w:rPr>
        <w:t>Assessing higher education learning outcomes in Brazil</w:t>
      </w:r>
      <w:r w:rsidR="00451D2E" w:rsidRPr="00AF5DC7">
        <w:rPr>
          <w:lang w:val="en-US"/>
        </w:rPr>
        <w:t>.</w:t>
      </w:r>
      <w:proofErr w:type="gramEnd"/>
      <w:r w:rsidR="00451D2E" w:rsidRPr="00AF5DC7">
        <w:rPr>
          <w:lang w:val="en-US"/>
        </w:rPr>
        <w:t xml:space="preserve"> </w:t>
      </w:r>
      <w:r w:rsidR="00C03DBC" w:rsidRPr="00AF5DC7">
        <w:rPr>
          <w:lang w:val="en-US"/>
        </w:rPr>
        <w:t xml:space="preserve"> </w:t>
      </w:r>
      <w:proofErr w:type="gramStart"/>
      <w:r w:rsidR="00451D2E" w:rsidRPr="00AF5DC7">
        <w:rPr>
          <w:iCs/>
          <w:color w:val="1F1F1F"/>
          <w:lang w:val="en-US"/>
        </w:rPr>
        <w:t>Higher Education Management and Policy</w:t>
      </w:r>
      <w:r w:rsidR="00451D2E" w:rsidRPr="00AF5DC7">
        <w:rPr>
          <w:lang w:val="en-US"/>
        </w:rPr>
        <w:t>, vol.</w:t>
      </w:r>
      <w:r w:rsidR="00C03DBC" w:rsidRPr="00AF5DC7">
        <w:rPr>
          <w:lang w:val="en-US"/>
        </w:rPr>
        <w:t>2</w:t>
      </w:r>
      <w:r w:rsidR="00451D2E" w:rsidRPr="00AF5DC7">
        <w:rPr>
          <w:lang w:val="en-US"/>
        </w:rPr>
        <w:t>4, n.2, p. 34-50.</w:t>
      </w:r>
      <w:proofErr w:type="gramEnd"/>
    </w:p>
    <w:p w:rsidR="00C03DBC" w:rsidRPr="0001756E" w:rsidRDefault="00C03DBC" w:rsidP="0001756E">
      <w:pPr>
        <w:pStyle w:val="NormalWeb"/>
        <w:spacing w:before="0" w:beforeAutospacing="0" w:after="0" w:afterAutospacing="0"/>
        <w:jc w:val="both"/>
        <w:rPr>
          <w:lang w:val="en-US"/>
        </w:rPr>
      </w:pPr>
    </w:p>
    <w:p w:rsidR="0001756E" w:rsidRPr="00345AC5" w:rsidRDefault="001F5DE3" w:rsidP="0001756E">
      <w:pPr>
        <w:pStyle w:val="Ttulo1"/>
        <w:shd w:val="clear" w:color="auto" w:fill="FFFFFF"/>
        <w:spacing w:before="105" w:after="210" w:line="240" w:lineRule="auto"/>
        <w:jc w:val="both"/>
        <w:textAlignment w:val="baseline"/>
        <w:rPr>
          <w:rFonts w:ascii="Times New Roman" w:hAnsi="Times New Roman" w:cs="Times New Roman"/>
          <w:b w:val="0"/>
          <w:bCs w:val="0"/>
          <w:color w:val="auto"/>
          <w:spacing w:val="9"/>
          <w:sz w:val="24"/>
          <w:szCs w:val="24"/>
        </w:rPr>
      </w:pPr>
      <w:r w:rsidRPr="00345AC5">
        <w:rPr>
          <w:rFonts w:ascii="Times New Roman" w:hAnsi="Times New Roman" w:cs="Times New Roman"/>
          <w:b w:val="0"/>
          <w:color w:val="auto"/>
          <w:sz w:val="24"/>
          <w:szCs w:val="24"/>
          <w:lang w:val="en-US"/>
        </w:rPr>
        <w:t>Pereira, D. V. S. P</w:t>
      </w:r>
      <w:r w:rsidR="0001756E" w:rsidRPr="00345AC5">
        <w:rPr>
          <w:rFonts w:ascii="Times New Roman" w:hAnsi="Times New Roman" w:cs="Times New Roman"/>
          <w:b w:val="0"/>
          <w:color w:val="auto"/>
          <w:sz w:val="24"/>
          <w:szCs w:val="24"/>
          <w:lang w:val="en-US"/>
        </w:rPr>
        <w:t xml:space="preserve"> </w:t>
      </w:r>
      <w:proofErr w:type="gramStart"/>
      <w:r w:rsidR="0001756E" w:rsidRPr="00345AC5">
        <w:rPr>
          <w:rFonts w:ascii="Times New Roman" w:hAnsi="Times New Roman" w:cs="Times New Roman"/>
          <w:b w:val="0"/>
          <w:color w:val="auto"/>
          <w:sz w:val="24"/>
          <w:szCs w:val="24"/>
          <w:lang w:val="en-US"/>
        </w:rPr>
        <w:t>e</w:t>
      </w:r>
      <w:proofErr w:type="gramEnd"/>
      <w:r w:rsidR="0001756E" w:rsidRPr="00345AC5">
        <w:rPr>
          <w:rFonts w:ascii="Times New Roman" w:hAnsi="Times New Roman" w:cs="Times New Roman"/>
          <w:b w:val="0"/>
          <w:color w:val="auto"/>
          <w:sz w:val="24"/>
          <w:szCs w:val="24"/>
          <w:lang w:val="en-US"/>
        </w:rPr>
        <w:t xml:space="preserve"> MOTA, C. M. M.</w:t>
      </w:r>
      <w:r w:rsidR="00C03DBC" w:rsidRPr="00345AC5">
        <w:rPr>
          <w:rFonts w:ascii="Times New Roman" w:hAnsi="Times New Roman" w:cs="Times New Roman"/>
          <w:b w:val="0"/>
          <w:color w:val="auto"/>
          <w:sz w:val="24"/>
          <w:szCs w:val="24"/>
          <w:lang w:val="en-US"/>
        </w:rPr>
        <w:t xml:space="preserve"> </w:t>
      </w:r>
      <w:r w:rsidR="00451D2E" w:rsidRPr="00345AC5">
        <w:rPr>
          <w:rFonts w:ascii="Times New Roman" w:hAnsi="Times New Roman" w:cs="Times New Roman"/>
          <w:b w:val="0"/>
          <w:color w:val="auto"/>
          <w:sz w:val="24"/>
          <w:szCs w:val="24"/>
          <w:lang w:val="en-US"/>
        </w:rPr>
        <w:t>(201</w:t>
      </w:r>
      <w:r w:rsidR="0001756E" w:rsidRPr="00345AC5">
        <w:rPr>
          <w:rFonts w:ascii="Times New Roman" w:hAnsi="Times New Roman" w:cs="Times New Roman"/>
          <w:b w:val="0"/>
          <w:color w:val="auto"/>
          <w:sz w:val="24"/>
          <w:szCs w:val="24"/>
          <w:lang w:val="en-US"/>
        </w:rPr>
        <w:t>4</w:t>
      </w:r>
      <w:r w:rsidR="00451D2E" w:rsidRPr="00345AC5">
        <w:rPr>
          <w:rFonts w:ascii="Times New Roman" w:hAnsi="Times New Roman" w:cs="Times New Roman"/>
          <w:b w:val="0"/>
          <w:color w:val="auto"/>
          <w:sz w:val="24"/>
          <w:szCs w:val="24"/>
          <w:lang w:val="en-US"/>
        </w:rPr>
        <w:t>).</w:t>
      </w:r>
      <w:r w:rsidR="0001756E" w:rsidRPr="00345AC5">
        <w:rPr>
          <w:rFonts w:ascii="Times New Roman" w:hAnsi="Times New Roman" w:cs="Times New Roman"/>
          <w:b w:val="0"/>
          <w:bCs w:val="0"/>
          <w:color w:val="auto"/>
          <w:spacing w:val="9"/>
          <w:sz w:val="24"/>
          <w:szCs w:val="24"/>
          <w:lang w:val="en-US"/>
        </w:rPr>
        <w:t xml:space="preserve"> </w:t>
      </w:r>
      <w:r w:rsidR="0001756E" w:rsidRPr="0001756E">
        <w:rPr>
          <w:rFonts w:ascii="Times New Roman" w:hAnsi="Times New Roman" w:cs="Times New Roman"/>
          <w:b w:val="0"/>
          <w:bCs w:val="0"/>
          <w:color w:val="auto"/>
          <w:spacing w:val="9"/>
          <w:sz w:val="24"/>
          <w:szCs w:val="24"/>
          <w:lang w:val="en"/>
        </w:rPr>
        <w:t xml:space="preserve">Human Development Index Based on ELECTRE TRI-C </w:t>
      </w:r>
      <w:proofErr w:type="spellStart"/>
      <w:r w:rsidR="0001756E" w:rsidRPr="0001756E">
        <w:rPr>
          <w:rFonts w:ascii="Times New Roman" w:hAnsi="Times New Roman" w:cs="Times New Roman"/>
          <w:b w:val="0"/>
          <w:bCs w:val="0"/>
          <w:color w:val="auto"/>
          <w:spacing w:val="9"/>
          <w:sz w:val="24"/>
          <w:szCs w:val="24"/>
          <w:lang w:val="en"/>
        </w:rPr>
        <w:t>Multicriteria</w:t>
      </w:r>
      <w:proofErr w:type="spellEnd"/>
      <w:r w:rsidR="0001756E" w:rsidRPr="0001756E">
        <w:rPr>
          <w:rFonts w:ascii="Times New Roman" w:hAnsi="Times New Roman" w:cs="Times New Roman"/>
          <w:b w:val="0"/>
          <w:bCs w:val="0"/>
          <w:color w:val="auto"/>
          <w:spacing w:val="9"/>
          <w:sz w:val="24"/>
          <w:szCs w:val="24"/>
          <w:lang w:val="en"/>
        </w:rPr>
        <w:t xml:space="preserve"> Method: An Application in the City of Recife</w:t>
      </w:r>
      <w:r w:rsidR="0001756E">
        <w:rPr>
          <w:rFonts w:ascii="Times New Roman" w:hAnsi="Times New Roman" w:cs="Times New Roman"/>
          <w:b w:val="0"/>
          <w:bCs w:val="0"/>
          <w:color w:val="auto"/>
          <w:spacing w:val="9"/>
          <w:sz w:val="24"/>
          <w:szCs w:val="24"/>
          <w:lang w:val="en"/>
        </w:rPr>
        <w:t xml:space="preserve">. </w:t>
      </w:r>
      <w:r w:rsidR="0001756E" w:rsidRPr="00345AC5">
        <w:rPr>
          <w:rFonts w:ascii="Times New Roman" w:hAnsi="Times New Roman" w:cs="Times New Roman"/>
          <w:b w:val="0"/>
          <w:bCs w:val="0"/>
          <w:color w:val="auto"/>
          <w:spacing w:val="9"/>
          <w:sz w:val="24"/>
          <w:szCs w:val="24"/>
        </w:rPr>
        <w:t xml:space="preserve">Social </w:t>
      </w:r>
      <w:proofErr w:type="spellStart"/>
      <w:r w:rsidR="0001756E" w:rsidRPr="00345AC5">
        <w:rPr>
          <w:rFonts w:ascii="Times New Roman" w:hAnsi="Times New Roman" w:cs="Times New Roman"/>
          <w:b w:val="0"/>
          <w:bCs w:val="0"/>
          <w:color w:val="auto"/>
          <w:spacing w:val="9"/>
          <w:sz w:val="24"/>
          <w:szCs w:val="24"/>
        </w:rPr>
        <w:t>Indicators</w:t>
      </w:r>
      <w:proofErr w:type="spellEnd"/>
      <w:r w:rsidR="0001756E" w:rsidRPr="00345AC5">
        <w:rPr>
          <w:rFonts w:ascii="Times New Roman" w:hAnsi="Times New Roman" w:cs="Times New Roman"/>
          <w:b w:val="0"/>
          <w:bCs w:val="0"/>
          <w:color w:val="auto"/>
          <w:spacing w:val="9"/>
          <w:sz w:val="24"/>
          <w:szCs w:val="24"/>
        </w:rPr>
        <w:t xml:space="preserve"> </w:t>
      </w:r>
      <w:proofErr w:type="spellStart"/>
      <w:r w:rsidR="0001756E" w:rsidRPr="00345AC5">
        <w:rPr>
          <w:rFonts w:ascii="Times New Roman" w:hAnsi="Times New Roman" w:cs="Times New Roman"/>
          <w:b w:val="0"/>
          <w:bCs w:val="0"/>
          <w:color w:val="auto"/>
          <w:spacing w:val="9"/>
          <w:sz w:val="24"/>
          <w:szCs w:val="24"/>
        </w:rPr>
        <w:t>Research</w:t>
      </w:r>
      <w:proofErr w:type="spellEnd"/>
      <w:r w:rsidR="0001756E" w:rsidRPr="00345AC5">
        <w:rPr>
          <w:rFonts w:ascii="Times New Roman" w:hAnsi="Times New Roman" w:cs="Times New Roman"/>
          <w:b w:val="0"/>
          <w:bCs w:val="0"/>
          <w:color w:val="auto"/>
          <w:spacing w:val="9"/>
          <w:sz w:val="24"/>
          <w:szCs w:val="24"/>
        </w:rPr>
        <w:t>, vol. 125, p. 19-45.</w:t>
      </w:r>
    </w:p>
    <w:p w:rsidR="00C03DBC" w:rsidRPr="00AF5DC7" w:rsidRDefault="00451D2E" w:rsidP="00C03DBC">
      <w:pPr>
        <w:pStyle w:val="NormalWeb"/>
        <w:spacing w:before="0" w:beforeAutospacing="0" w:after="0" w:afterAutospacing="0"/>
        <w:jc w:val="both"/>
        <w:rPr>
          <w:color w:val="000000"/>
        </w:rPr>
      </w:pPr>
      <w:r w:rsidRPr="00345AC5">
        <w:t xml:space="preserve"> </w:t>
      </w:r>
    </w:p>
    <w:p w:rsidR="00C03DBC" w:rsidRPr="00AF5DC7" w:rsidRDefault="001F5DE3" w:rsidP="00C03DBC">
      <w:pPr>
        <w:pStyle w:val="NormalWeb"/>
        <w:spacing w:before="0" w:beforeAutospacing="0" w:after="0" w:afterAutospacing="0"/>
        <w:jc w:val="both"/>
        <w:rPr>
          <w:color w:val="000000"/>
        </w:rPr>
      </w:pPr>
      <w:r w:rsidRPr="00AF5DC7">
        <w:rPr>
          <w:color w:val="000000"/>
        </w:rPr>
        <w:t>Ponte</w:t>
      </w:r>
      <w:r w:rsidR="00C03DBC" w:rsidRPr="00AF5DC7">
        <w:rPr>
          <w:color w:val="000000"/>
        </w:rPr>
        <w:t xml:space="preserve">, J. P. </w:t>
      </w:r>
      <w:r w:rsidR="00A240C4" w:rsidRPr="00AF5DC7">
        <w:rPr>
          <w:color w:val="000000"/>
        </w:rPr>
        <w:t xml:space="preserve">(2012). </w:t>
      </w:r>
      <w:r w:rsidR="00C03DBC" w:rsidRPr="00AF5DC7">
        <w:rPr>
          <w:color w:val="000000"/>
        </w:rPr>
        <w:t>A vertente profissional da formação inicial</w:t>
      </w:r>
      <w:r w:rsidR="00A240C4" w:rsidRPr="00AF5DC7">
        <w:rPr>
          <w:color w:val="000000"/>
        </w:rPr>
        <w:t xml:space="preserve"> de professores de matemática.</w:t>
      </w:r>
      <w:r w:rsidR="00C03DBC" w:rsidRPr="00AF5DC7">
        <w:rPr>
          <w:color w:val="000000"/>
        </w:rPr>
        <w:t xml:space="preserve"> Educação Matemática em Revista,</w:t>
      </w:r>
      <w:r w:rsidR="0001756E">
        <w:rPr>
          <w:color w:val="000000"/>
        </w:rPr>
        <w:t xml:space="preserve"> </w:t>
      </w:r>
      <w:r w:rsidR="00A240C4" w:rsidRPr="00AF5DC7">
        <w:rPr>
          <w:color w:val="000000"/>
        </w:rPr>
        <w:t>vol. 12, n.</w:t>
      </w:r>
      <w:r w:rsidR="00C03DBC" w:rsidRPr="00AF5DC7">
        <w:rPr>
          <w:color w:val="000000"/>
        </w:rPr>
        <w:t>11, p. 3-8.</w:t>
      </w:r>
    </w:p>
    <w:p w:rsidR="00C03DBC" w:rsidRPr="00AF5DC7" w:rsidRDefault="00C03DBC" w:rsidP="00C03DBC">
      <w:pPr>
        <w:pStyle w:val="NormalWeb"/>
        <w:spacing w:before="0" w:beforeAutospacing="0" w:after="0" w:afterAutospacing="0"/>
        <w:jc w:val="both"/>
        <w:rPr>
          <w:color w:val="000000"/>
        </w:rPr>
      </w:pPr>
    </w:p>
    <w:p w:rsidR="00C03DBC" w:rsidRPr="00AF5DC7" w:rsidRDefault="001F5DE3" w:rsidP="00C03DBC">
      <w:pPr>
        <w:pStyle w:val="NormalWeb"/>
        <w:spacing w:before="0" w:beforeAutospacing="0" w:after="0" w:afterAutospacing="0"/>
        <w:jc w:val="both"/>
      </w:pPr>
      <w:r w:rsidRPr="00AF5DC7">
        <w:rPr>
          <w:color w:val="000000"/>
        </w:rPr>
        <w:lastRenderedPageBreak/>
        <w:t>Queiroz</w:t>
      </w:r>
      <w:r w:rsidR="00C03DBC" w:rsidRPr="00AF5DC7">
        <w:rPr>
          <w:color w:val="000000"/>
        </w:rPr>
        <w:t xml:space="preserve">, K. C. A. L. </w:t>
      </w:r>
      <w:r w:rsidR="00A240C4" w:rsidRPr="00AF5DC7">
        <w:rPr>
          <w:color w:val="000000"/>
        </w:rPr>
        <w:t xml:space="preserve">(2011). </w:t>
      </w:r>
      <w:r w:rsidR="00C03DBC" w:rsidRPr="00AF5DC7">
        <w:rPr>
          <w:color w:val="000000"/>
        </w:rPr>
        <w:t xml:space="preserve">O processo de </w:t>
      </w:r>
      <w:proofErr w:type="gramStart"/>
      <w:r w:rsidR="00C03DBC" w:rsidRPr="00AF5DC7">
        <w:rPr>
          <w:color w:val="000000"/>
        </w:rPr>
        <w:t>implementação</w:t>
      </w:r>
      <w:proofErr w:type="gramEnd"/>
      <w:r w:rsidR="00C03DBC" w:rsidRPr="00AF5DC7">
        <w:rPr>
          <w:color w:val="000000"/>
        </w:rPr>
        <w:t xml:space="preserve"> da autoavaliação proposta pelo Sistema Nacional de Avaliação da Educação Superior – SINAES: a experiência de uma Universidade Pública.</w:t>
      </w:r>
      <w:r w:rsidR="00A240C4" w:rsidRPr="00AF5DC7">
        <w:rPr>
          <w:color w:val="000000"/>
        </w:rPr>
        <w:t xml:space="preserve"> </w:t>
      </w:r>
      <w:r w:rsidR="00C03DBC" w:rsidRPr="00AF5DC7">
        <w:rPr>
          <w:color w:val="000000"/>
        </w:rPr>
        <w:t>Educação Superior: questões</w:t>
      </w:r>
      <w:r w:rsidR="00A240C4" w:rsidRPr="00AF5DC7">
        <w:rPr>
          <w:color w:val="000000"/>
        </w:rPr>
        <w:t xml:space="preserve"> </w:t>
      </w:r>
      <w:r w:rsidR="00C03DBC" w:rsidRPr="00AF5DC7">
        <w:rPr>
          <w:color w:val="000000"/>
        </w:rPr>
        <w:t xml:space="preserve">contemporâneas. </w:t>
      </w:r>
      <w:proofErr w:type="gramStart"/>
      <w:r>
        <w:rPr>
          <w:color w:val="000000"/>
        </w:rPr>
        <w:t>v</w:t>
      </w:r>
      <w:r w:rsidR="00A240C4" w:rsidRPr="00AF5DC7">
        <w:rPr>
          <w:color w:val="000000"/>
        </w:rPr>
        <w:t>ol.</w:t>
      </w:r>
      <w:proofErr w:type="gramEnd"/>
      <w:r w:rsidR="00A240C4" w:rsidRPr="00AF5DC7">
        <w:rPr>
          <w:color w:val="000000"/>
        </w:rPr>
        <w:t>4, n.1</w:t>
      </w:r>
      <w:r w:rsidR="00C03DBC" w:rsidRPr="00AF5DC7">
        <w:rPr>
          <w:color w:val="000000"/>
        </w:rPr>
        <w:t xml:space="preserve">, p. 181-212. </w:t>
      </w:r>
    </w:p>
    <w:p w:rsidR="00C03DBC" w:rsidRPr="00AF5DC7" w:rsidRDefault="00C03DBC" w:rsidP="00C03DBC">
      <w:pPr>
        <w:pStyle w:val="NormalWeb"/>
        <w:spacing w:before="0" w:beforeAutospacing="0" w:after="0" w:afterAutospacing="0"/>
        <w:jc w:val="both"/>
      </w:pPr>
    </w:p>
    <w:p w:rsidR="00C03DBC" w:rsidRPr="00BD2180" w:rsidRDefault="001F5DE3" w:rsidP="00C03DBC">
      <w:pPr>
        <w:pStyle w:val="NormalWeb"/>
        <w:spacing w:before="0" w:beforeAutospacing="0" w:after="0" w:afterAutospacing="0"/>
        <w:jc w:val="both"/>
        <w:rPr>
          <w:color w:val="000000"/>
        </w:rPr>
      </w:pPr>
      <w:r w:rsidRPr="00AF5DC7">
        <w:rPr>
          <w:color w:val="000000"/>
        </w:rPr>
        <w:t>Roy</w:t>
      </w:r>
      <w:r w:rsidR="00C03DBC" w:rsidRPr="00AF5DC7">
        <w:rPr>
          <w:color w:val="000000"/>
        </w:rPr>
        <w:t xml:space="preserve">, B. </w:t>
      </w:r>
      <w:r w:rsidR="00A240C4" w:rsidRPr="00AF5DC7">
        <w:rPr>
          <w:color w:val="000000"/>
        </w:rPr>
        <w:t xml:space="preserve">(1996). </w:t>
      </w:r>
      <w:proofErr w:type="spellStart"/>
      <w:r w:rsidR="00C03DBC" w:rsidRPr="00BD2180">
        <w:rPr>
          <w:color w:val="000000"/>
        </w:rPr>
        <w:t>Multicriteria</w:t>
      </w:r>
      <w:proofErr w:type="spellEnd"/>
      <w:r w:rsidR="00C03DBC" w:rsidRPr="00BD2180">
        <w:rPr>
          <w:color w:val="000000"/>
        </w:rPr>
        <w:t xml:space="preserve"> </w:t>
      </w:r>
      <w:proofErr w:type="spellStart"/>
      <w:r w:rsidR="00C03DBC" w:rsidRPr="00BD2180">
        <w:rPr>
          <w:color w:val="000000"/>
        </w:rPr>
        <w:t>Methodology</w:t>
      </w:r>
      <w:proofErr w:type="spellEnd"/>
      <w:r w:rsidR="00C03DBC" w:rsidRPr="00BD2180">
        <w:rPr>
          <w:color w:val="000000"/>
        </w:rPr>
        <w:t xml:space="preserve"> for </w:t>
      </w:r>
      <w:proofErr w:type="spellStart"/>
      <w:r w:rsidR="00C03DBC" w:rsidRPr="00BD2180">
        <w:rPr>
          <w:color w:val="000000"/>
        </w:rPr>
        <w:t>Decision</w:t>
      </w:r>
      <w:proofErr w:type="spellEnd"/>
      <w:r w:rsidR="00C03DBC" w:rsidRPr="00BD2180">
        <w:rPr>
          <w:color w:val="000000"/>
        </w:rPr>
        <w:t xml:space="preserve"> </w:t>
      </w:r>
      <w:proofErr w:type="spellStart"/>
      <w:r w:rsidR="00C03DBC" w:rsidRPr="00BD2180">
        <w:rPr>
          <w:color w:val="000000"/>
        </w:rPr>
        <w:t>Aiding</w:t>
      </w:r>
      <w:proofErr w:type="spellEnd"/>
      <w:r w:rsidR="00C03DBC" w:rsidRPr="00BD2180">
        <w:rPr>
          <w:color w:val="000000"/>
        </w:rPr>
        <w:t>.</w:t>
      </w:r>
      <w:r w:rsidR="00A240C4" w:rsidRPr="00BD2180">
        <w:rPr>
          <w:color w:val="000000"/>
        </w:rPr>
        <w:t xml:space="preserve"> Springer.</w:t>
      </w:r>
    </w:p>
    <w:p w:rsidR="00C03DBC" w:rsidRPr="00BD2180" w:rsidRDefault="00C03DBC" w:rsidP="00C03DBC">
      <w:pPr>
        <w:pStyle w:val="NormalWeb"/>
        <w:spacing w:before="0" w:beforeAutospacing="0" w:after="0" w:afterAutospacing="0"/>
        <w:jc w:val="both"/>
        <w:rPr>
          <w:color w:val="000000"/>
        </w:rPr>
      </w:pPr>
    </w:p>
    <w:p w:rsidR="00C03DBC" w:rsidRPr="00AF5DC7" w:rsidRDefault="001F5DE3" w:rsidP="00C03DBC">
      <w:pPr>
        <w:pStyle w:val="NormalWeb"/>
        <w:spacing w:before="0" w:beforeAutospacing="0" w:after="0" w:afterAutospacing="0"/>
        <w:jc w:val="both"/>
        <w:rPr>
          <w:color w:val="000000"/>
        </w:rPr>
      </w:pPr>
      <w:proofErr w:type="spellStart"/>
      <w:r w:rsidRPr="00AF5DC7">
        <w:rPr>
          <w:color w:val="000000"/>
        </w:rPr>
        <w:t>Schwartzman</w:t>
      </w:r>
      <w:proofErr w:type="spellEnd"/>
      <w:r w:rsidR="00C03DBC" w:rsidRPr="00AF5DC7">
        <w:rPr>
          <w:color w:val="000000"/>
        </w:rPr>
        <w:t>,</w:t>
      </w:r>
      <w:r>
        <w:rPr>
          <w:color w:val="000000"/>
        </w:rPr>
        <w:t xml:space="preserve"> S</w:t>
      </w:r>
      <w:r w:rsidR="00C03DBC" w:rsidRPr="00AF5DC7">
        <w:rPr>
          <w:color w:val="000000"/>
        </w:rPr>
        <w:t xml:space="preserve">. </w:t>
      </w:r>
      <w:r w:rsidR="00A240C4" w:rsidRPr="00AF5DC7">
        <w:rPr>
          <w:color w:val="000000"/>
        </w:rPr>
        <w:t xml:space="preserve">(2008). </w:t>
      </w:r>
      <w:r w:rsidR="00C03DBC" w:rsidRPr="00AF5DC7">
        <w:rPr>
          <w:color w:val="000000"/>
        </w:rPr>
        <w:t>O “conceito preliminar” e as boas práticas de a</w:t>
      </w:r>
      <w:r w:rsidR="00A240C4" w:rsidRPr="00AF5DC7">
        <w:rPr>
          <w:color w:val="000000"/>
        </w:rPr>
        <w:t xml:space="preserve">valiação do ensino superior. </w:t>
      </w:r>
      <w:r w:rsidR="00C03DBC" w:rsidRPr="00AF5DC7">
        <w:rPr>
          <w:color w:val="000000"/>
        </w:rPr>
        <w:t>Revista da Associação Brasileira de Mantenedoras de Ensino Superior</w:t>
      </w:r>
      <w:r w:rsidR="00A240C4" w:rsidRPr="00AF5DC7">
        <w:rPr>
          <w:color w:val="000000"/>
        </w:rPr>
        <w:t>,</w:t>
      </w:r>
      <w:r w:rsidR="001F43B5" w:rsidRPr="00AF5DC7">
        <w:rPr>
          <w:color w:val="000000"/>
        </w:rPr>
        <w:t xml:space="preserve"> vol. 13</w:t>
      </w:r>
      <w:r w:rsidR="00A240C4" w:rsidRPr="00AF5DC7">
        <w:rPr>
          <w:color w:val="000000"/>
        </w:rPr>
        <w:t xml:space="preserve"> n. 38, p. 9-32</w:t>
      </w:r>
      <w:r w:rsidR="00C03DBC" w:rsidRPr="00AF5DC7">
        <w:rPr>
          <w:color w:val="000000"/>
        </w:rPr>
        <w:t>.</w:t>
      </w:r>
    </w:p>
    <w:p w:rsidR="00C03DBC" w:rsidRPr="00AF5DC7" w:rsidRDefault="00C03DBC" w:rsidP="00C03DBC">
      <w:pPr>
        <w:pStyle w:val="NormalWeb"/>
        <w:spacing w:before="0" w:beforeAutospacing="0" w:after="0" w:afterAutospacing="0"/>
        <w:jc w:val="both"/>
        <w:rPr>
          <w:color w:val="000000"/>
        </w:rPr>
      </w:pPr>
    </w:p>
    <w:p w:rsidR="00C03DBC" w:rsidRPr="00AF5DC7" w:rsidRDefault="001F5DE3" w:rsidP="00C03DBC">
      <w:pPr>
        <w:pStyle w:val="NormalWeb"/>
        <w:spacing w:before="0" w:beforeAutospacing="0" w:after="0" w:afterAutospacing="0"/>
        <w:jc w:val="both"/>
        <w:rPr>
          <w:lang w:val="en-US"/>
        </w:rPr>
      </w:pPr>
      <w:r w:rsidRPr="00AF5DC7">
        <w:rPr>
          <w:color w:val="000000"/>
        </w:rPr>
        <w:t>Vasconcelos,</w:t>
      </w:r>
      <w:r>
        <w:rPr>
          <w:color w:val="000000"/>
        </w:rPr>
        <w:t> </w:t>
      </w:r>
      <w:r w:rsidR="00C03DBC" w:rsidRPr="00AF5DC7">
        <w:rPr>
          <w:color w:val="000000"/>
        </w:rPr>
        <w:t>C</w:t>
      </w:r>
      <w:r>
        <w:rPr>
          <w:color w:val="000000"/>
        </w:rPr>
        <w:t xml:space="preserve">. </w:t>
      </w:r>
      <w:r w:rsidR="00C03DBC" w:rsidRPr="00AF5DC7">
        <w:rPr>
          <w:color w:val="000000"/>
        </w:rPr>
        <w:t>C</w:t>
      </w:r>
      <w:r>
        <w:rPr>
          <w:color w:val="000000"/>
        </w:rPr>
        <w:t xml:space="preserve">. </w:t>
      </w:r>
      <w:r w:rsidR="001F43B5" w:rsidRPr="00AF5DC7">
        <w:rPr>
          <w:color w:val="000000"/>
        </w:rPr>
        <w:t xml:space="preserve">(2009). </w:t>
      </w:r>
      <w:r w:rsidR="00C03DBC" w:rsidRPr="00AF5DC7">
        <w:rPr>
          <w:color w:val="000000"/>
        </w:rPr>
        <w:t>Ensino</w:t>
      </w:r>
      <w:r w:rsidR="001F43B5" w:rsidRPr="00AF5DC7">
        <w:rPr>
          <w:color w:val="000000"/>
        </w:rPr>
        <w:t xml:space="preserve"> </w:t>
      </w:r>
      <w:r w:rsidR="00C03DBC" w:rsidRPr="00AF5DC7">
        <w:rPr>
          <w:color w:val="000000"/>
        </w:rPr>
        <w:t>aprendizagem  da  matemática: velhos problemas, novos desafios. </w:t>
      </w:r>
      <w:proofErr w:type="spellStart"/>
      <w:r w:rsidR="00C03DBC" w:rsidRPr="00AF5DC7">
        <w:rPr>
          <w:color w:val="000000"/>
          <w:lang w:val="en-US"/>
        </w:rPr>
        <w:t>Revista</w:t>
      </w:r>
      <w:proofErr w:type="spellEnd"/>
      <w:r w:rsidR="00C03DBC" w:rsidRPr="00AF5DC7">
        <w:rPr>
          <w:color w:val="000000"/>
          <w:lang w:val="en-US"/>
        </w:rPr>
        <w:t> </w:t>
      </w:r>
      <w:proofErr w:type="spellStart"/>
      <w:r w:rsidR="00C03DBC" w:rsidRPr="00AF5DC7">
        <w:rPr>
          <w:color w:val="000000"/>
          <w:lang w:val="en-US"/>
        </w:rPr>
        <w:t>Millenium</w:t>
      </w:r>
      <w:proofErr w:type="spellEnd"/>
      <w:r w:rsidR="00C03DBC" w:rsidRPr="00AF5DC7">
        <w:rPr>
          <w:color w:val="000000"/>
          <w:lang w:val="en-US"/>
        </w:rPr>
        <w:t>,</w:t>
      </w:r>
      <w:r w:rsidR="001F43B5" w:rsidRPr="00AF5DC7">
        <w:rPr>
          <w:color w:val="000000"/>
          <w:lang w:val="en-US"/>
        </w:rPr>
        <w:t xml:space="preserve"> vol.4,</w:t>
      </w:r>
      <w:r w:rsidR="00C03DBC" w:rsidRPr="00AF5DC7">
        <w:rPr>
          <w:color w:val="000000"/>
          <w:lang w:val="en-US"/>
        </w:rPr>
        <w:t xml:space="preserve"> n</w:t>
      </w:r>
      <w:r w:rsidR="001F43B5" w:rsidRPr="00AF5DC7">
        <w:rPr>
          <w:color w:val="000000"/>
          <w:lang w:val="en-US"/>
        </w:rPr>
        <w:t>.</w:t>
      </w:r>
      <w:r w:rsidR="00C03DBC" w:rsidRPr="00AF5DC7">
        <w:rPr>
          <w:color w:val="000000"/>
          <w:lang w:val="en-US"/>
        </w:rPr>
        <w:t> 20.</w:t>
      </w:r>
    </w:p>
    <w:p w:rsidR="00C03DBC" w:rsidRPr="00AF5DC7" w:rsidRDefault="00C03DBC" w:rsidP="00C03DBC">
      <w:pPr>
        <w:pStyle w:val="NormalWeb"/>
        <w:spacing w:before="0" w:beforeAutospacing="0" w:after="0" w:afterAutospacing="0"/>
        <w:jc w:val="both"/>
        <w:rPr>
          <w:lang w:val="en-US"/>
        </w:rPr>
      </w:pPr>
    </w:p>
    <w:p w:rsidR="004974AE" w:rsidRPr="00FC5BEA" w:rsidRDefault="001F5DE3" w:rsidP="001F5DE3">
      <w:pPr>
        <w:pStyle w:val="NormalWeb"/>
        <w:spacing w:before="0" w:beforeAutospacing="0" w:after="0" w:afterAutospacing="0"/>
        <w:jc w:val="both"/>
        <w:rPr>
          <w:color w:val="000000"/>
        </w:rPr>
      </w:pPr>
      <w:proofErr w:type="spellStart"/>
      <w:r w:rsidRPr="00AF5DC7">
        <w:rPr>
          <w:color w:val="000000"/>
          <w:lang w:val="en-US"/>
        </w:rPr>
        <w:t>Vincke</w:t>
      </w:r>
      <w:proofErr w:type="spellEnd"/>
      <w:r w:rsidRPr="00AF5DC7">
        <w:rPr>
          <w:color w:val="000000"/>
          <w:lang w:val="en-US"/>
        </w:rPr>
        <w:t xml:space="preserve">, </w:t>
      </w:r>
      <w:r w:rsidR="00C03DBC" w:rsidRPr="00AF5DC7">
        <w:rPr>
          <w:color w:val="000000"/>
          <w:lang w:val="en-US"/>
        </w:rPr>
        <w:t xml:space="preserve">P. </w:t>
      </w:r>
      <w:r w:rsidR="001F43B5" w:rsidRPr="00AF5DC7">
        <w:rPr>
          <w:color w:val="000000"/>
          <w:lang w:val="en-US"/>
        </w:rPr>
        <w:t xml:space="preserve">(1992). </w:t>
      </w:r>
      <w:proofErr w:type="spellStart"/>
      <w:proofErr w:type="gramStart"/>
      <w:r w:rsidR="00C03DBC" w:rsidRPr="00AF5DC7">
        <w:rPr>
          <w:color w:val="000000"/>
          <w:lang w:val="en-US"/>
        </w:rPr>
        <w:t>Multicriteria</w:t>
      </w:r>
      <w:proofErr w:type="spellEnd"/>
      <w:r w:rsidR="007211F0" w:rsidRPr="00AF5DC7">
        <w:rPr>
          <w:color w:val="000000"/>
          <w:lang w:val="en-US"/>
        </w:rPr>
        <w:t xml:space="preserve"> </w:t>
      </w:r>
      <w:r w:rsidR="00C03DBC" w:rsidRPr="00AF5DC7">
        <w:rPr>
          <w:color w:val="000000"/>
          <w:lang w:val="en-US"/>
        </w:rPr>
        <w:t>Decision-aid</w:t>
      </w:r>
      <w:r w:rsidR="001F43B5" w:rsidRPr="00AF5DC7">
        <w:rPr>
          <w:color w:val="000000"/>
          <w:lang w:val="en-US"/>
        </w:rPr>
        <w:t>.</w:t>
      </w:r>
      <w:proofErr w:type="gramEnd"/>
      <w:r w:rsidR="001F43B5" w:rsidRPr="00AF5DC7">
        <w:rPr>
          <w:color w:val="000000"/>
          <w:lang w:val="en-US"/>
        </w:rPr>
        <w:t xml:space="preserve"> </w:t>
      </w:r>
      <w:r w:rsidR="001F43B5" w:rsidRPr="00FC5BEA">
        <w:rPr>
          <w:color w:val="000000"/>
        </w:rPr>
        <w:t xml:space="preserve">John </w:t>
      </w:r>
      <w:proofErr w:type="spellStart"/>
      <w:r w:rsidR="001F43B5" w:rsidRPr="00FC5BEA">
        <w:rPr>
          <w:color w:val="000000"/>
        </w:rPr>
        <w:t>Wiley</w:t>
      </w:r>
      <w:proofErr w:type="spellEnd"/>
      <w:r w:rsidR="001F43B5" w:rsidRPr="00FC5BEA">
        <w:rPr>
          <w:color w:val="000000"/>
        </w:rPr>
        <w:t xml:space="preserve"> &amp; Sons, Londres</w:t>
      </w:r>
      <w:r w:rsidR="00C03DBC" w:rsidRPr="00FC5BEA">
        <w:rPr>
          <w:color w:val="000000"/>
        </w:rPr>
        <w:t>.</w:t>
      </w: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FC5BEA" w:rsidRDefault="00437674" w:rsidP="001F5DE3">
      <w:pPr>
        <w:pStyle w:val="NormalWeb"/>
        <w:spacing w:before="0" w:beforeAutospacing="0" w:after="0" w:afterAutospacing="0"/>
        <w:jc w:val="both"/>
        <w:rPr>
          <w:color w:val="000000"/>
        </w:rPr>
      </w:pPr>
    </w:p>
    <w:p w:rsidR="00437674" w:rsidRPr="00437674" w:rsidRDefault="00437674" w:rsidP="00437674">
      <w:pPr>
        <w:pStyle w:val="NormalWeb"/>
        <w:spacing w:before="0" w:beforeAutospacing="0" w:after="0" w:afterAutospacing="0"/>
        <w:rPr>
          <w:b/>
        </w:rPr>
      </w:pPr>
    </w:p>
    <w:sectPr w:rsidR="00437674" w:rsidRPr="00437674" w:rsidSect="0034299C">
      <w:pgSz w:w="11906" w:h="16838" w:code="9"/>
      <w:pgMar w:top="1871" w:right="1418" w:bottom="1418" w:left="1418"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50" w:rsidRDefault="00267C50" w:rsidP="0034299C">
      <w:pPr>
        <w:spacing w:after="0" w:line="240" w:lineRule="auto"/>
      </w:pPr>
      <w:r>
        <w:separator/>
      </w:r>
    </w:p>
  </w:endnote>
  <w:endnote w:type="continuationSeparator" w:id="0">
    <w:p w:rsidR="00267C50" w:rsidRDefault="00267C50" w:rsidP="0034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50" w:rsidRDefault="00267C50" w:rsidP="0034299C">
      <w:pPr>
        <w:spacing w:after="0" w:line="240" w:lineRule="auto"/>
      </w:pPr>
      <w:r>
        <w:separator/>
      </w:r>
    </w:p>
  </w:footnote>
  <w:footnote w:type="continuationSeparator" w:id="0">
    <w:p w:rsidR="00267C50" w:rsidRDefault="00267C50" w:rsidP="0034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C3"/>
    <w:multiLevelType w:val="hybridMultilevel"/>
    <w:tmpl w:val="5CEE9E4E"/>
    <w:lvl w:ilvl="0" w:tplc="87ECEEEC">
      <w:start w:val="1"/>
      <w:numFmt w:val="decimal"/>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9346FC"/>
    <w:multiLevelType w:val="multilevel"/>
    <w:tmpl w:val="CCFEBDC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0"/>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B2F7C"/>
    <w:multiLevelType w:val="multilevel"/>
    <w:tmpl w:val="A65A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C126E"/>
    <w:multiLevelType w:val="multilevel"/>
    <w:tmpl w:val="0900985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85CED"/>
    <w:multiLevelType w:val="multilevel"/>
    <w:tmpl w:val="549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94C38"/>
    <w:multiLevelType w:val="hybridMultilevel"/>
    <w:tmpl w:val="A78630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54CA0F1F"/>
    <w:multiLevelType w:val="hybridMultilevel"/>
    <w:tmpl w:val="739A42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8E2FFC"/>
    <w:multiLevelType w:val="hybridMultilevel"/>
    <w:tmpl w:val="873EB94C"/>
    <w:lvl w:ilvl="0" w:tplc="4BBC0290">
      <w:start w:val="1"/>
      <w:numFmt w:val="bullet"/>
      <w:lvlText w:val=""/>
      <w:lvlJc w:val="left"/>
      <w:pPr>
        <w:ind w:left="720" w:hanging="360"/>
      </w:pPr>
      <w:rPr>
        <w:rFonts w:ascii="Symbol" w:eastAsiaTheme="minorEastAsia"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D0"/>
    <w:rsid w:val="00007917"/>
    <w:rsid w:val="00012988"/>
    <w:rsid w:val="0001756E"/>
    <w:rsid w:val="00017C70"/>
    <w:rsid w:val="00024231"/>
    <w:rsid w:val="00044D71"/>
    <w:rsid w:val="00047529"/>
    <w:rsid w:val="000541ED"/>
    <w:rsid w:val="00054377"/>
    <w:rsid w:val="000556DC"/>
    <w:rsid w:val="00064525"/>
    <w:rsid w:val="000860DE"/>
    <w:rsid w:val="0009412E"/>
    <w:rsid w:val="00097A75"/>
    <w:rsid w:val="000B2155"/>
    <w:rsid w:val="000D5EE5"/>
    <w:rsid w:val="000E11FF"/>
    <w:rsid w:val="000E23AB"/>
    <w:rsid w:val="000E672E"/>
    <w:rsid w:val="000F51B8"/>
    <w:rsid w:val="001220FB"/>
    <w:rsid w:val="0012589D"/>
    <w:rsid w:val="00150799"/>
    <w:rsid w:val="00153184"/>
    <w:rsid w:val="00163AA6"/>
    <w:rsid w:val="00190F00"/>
    <w:rsid w:val="001C19EF"/>
    <w:rsid w:val="001C2B89"/>
    <w:rsid w:val="001D4C12"/>
    <w:rsid w:val="001D4DAA"/>
    <w:rsid w:val="001E0152"/>
    <w:rsid w:val="001F2EE7"/>
    <w:rsid w:val="001F43B5"/>
    <w:rsid w:val="001F5DE3"/>
    <w:rsid w:val="00203AF0"/>
    <w:rsid w:val="0020731F"/>
    <w:rsid w:val="002101BA"/>
    <w:rsid w:val="002204E1"/>
    <w:rsid w:val="002244D1"/>
    <w:rsid w:val="00225E9C"/>
    <w:rsid w:val="0024190E"/>
    <w:rsid w:val="00250431"/>
    <w:rsid w:val="00262D94"/>
    <w:rsid w:val="00267C50"/>
    <w:rsid w:val="00270FF9"/>
    <w:rsid w:val="002715E1"/>
    <w:rsid w:val="00280142"/>
    <w:rsid w:val="0028319D"/>
    <w:rsid w:val="002A2FAE"/>
    <w:rsid w:val="002A6EF3"/>
    <w:rsid w:val="002B0306"/>
    <w:rsid w:val="002B2CBB"/>
    <w:rsid w:val="002B5445"/>
    <w:rsid w:val="002F41D0"/>
    <w:rsid w:val="00312D5D"/>
    <w:rsid w:val="0034299C"/>
    <w:rsid w:val="00345AC5"/>
    <w:rsid w:val="00393803"/>
    <w:rsid w:val="003A3226"/>
    <w:rsid w:val="003B55F4"/>
    <w:rsid w:val="003C6604"/>
    <w:rsid w:val="003F3EEE"/>
    <w:rsid w:val="003F6B52"/>
    <w:rsid w:val="00416D43"/>
    <w:rsid w:val="004243B3"/>
    <w:rsid w:val="00432551"/>
    <w:rsid w:val="00437674"/>
    <w:rsid w:val="004465F1"/>
    <w:rsid w:val="00451D2E"/>
    <w:rsid w:val="00455422"/>
    <w:rsid w:val="00456E82"/>
    <w:rsid w:val="00461139"/>
    <w:rsid w:val="0046311F"/>
    <w:rsid w:val="00466DC0"/>
    <w:rsid w:val="0048138F"/>
    <w:rsid w:val="00485B48"/>
    <w:rsid w:val="00495020"/>
    <w:rsid w:val="004974AE"/>
    <w:rsid w:val="004B7173"/>
    <w:rsid w:val="004F6B8F"/>
    <w:rsid w:val="00501846"/>
    <w:rsid w:val="00501AC7"/>
    <w:rsid w:val="00515BBA"/>
    <w:rsid w:val="005202A4"/>
    <w:rsid w:val="00541BCA"/>
    <w:rsid w:val="00560E15"/>
    <w:rsid w:val="00563C85"/>
    <w:rsid w:val="00570C55"/>
    <w:rsid w:val="005753DF"/>
    <w:rsid w:val="00590522"/>
    <w:rsid w:val="005A65B8"/>
    <w:rsid w:val="005B269F"/>
    <w:rsid w:val="005B66DC"/>
    <w:rsid w:val="005D578D"/>
    <w:rsid w:val="005E5A7D"/>
    <w:rsid w:val="005F11FF"/>
    <w:rsid w:val="00606E8E"/>
    <w:rsid w:val="006114CE"/>
    <w:rsid w:val="00612B8D"/>
    <w:rsid w:val="00627356"/>
    <w:rsid w:val="00633748"/>
    <w:rsid w:val="0063692E"/>
    <w:rsid w:val="00637A6D"/>
    <w:rsid w:val="006510F9"/>
    <w:rsid w:val="00652A3A"/>
    <w:rsid w:val="00656FF5"/>
    <w:rsid w:val="006575CD"/>
    <w:rsid w:val="0066305D"/>
    <w:rsid w:val="00664C9B"/>
    <w:rsid w:val="00690F2E"/>
    <w:rsid w:val="006F1E9E"/>
    <w:rsid w:val="00707C77"/>
    <w:rsid w:val="00712028"/>
    <w:rsid w:val="00720268"/>
    <w:rsid w:val="007211F0"/>
    <w:rsid w:val="00742BD8"/>
    <w:rsid w:val="00746297"/>
    <w:rsid w:val="00763721"/>
    <w:rsid w:val="00767094"/>
    <w:rsid w:val="00795783"/>
    <w:rsid w:val="007C730C"/>
    <w:rsid w:val="008344D7"/>
    <w:rsid w:val="00852D93"/>
    <w:rsid w:val="00857A53"/>
    <w:rsid w:val="0086669E"/>
    <w:rsid w:val="008937EA"/>
    <w:rsid w:val="008A3B5F"/>
    <w:rsid w:val="008A4FA9"/>
    <w:rsid w:val="008A7F90"/>
    <w:rsid w:val="008D3551"/>
    <w:rsid w:val="008E37CE"/>
    <w:rsid w:val="00900AAB"/>
    <w:rsid w:val="00915145"/>
    <w:rsid w:val="009541F7"/>
    <w:rsid w:val="009567CD"/>
    <w:rsid w:val="009601C4"/>
    <w:rsid w:val="009669E3"/>
    <w:rsid w:val="00972BDB"/>
    <w:rsid w:val="00980BF6"/>
    <w:rsid w:val="00985FB0"/>
    <w:rsid w:val="00987E26"/>
    <w:rsid w:val="009B4141"/>
    <w:rsid w:val="009C24AF"/>
    <w:rsid w:val="009C3563"/>
    <w:rsid w:val="009D5F87"/>
    <w:rsid w:val="009D6F94"/>
    <w:rsid w:val="009E5AC5"/>
    <w:rsid w:val="009F0205"/>
    <w:rsid w:val="009F455F"/>
    <w:rsid w:val="009F75ED"/>
    <w:rsid w:val="00A07937"/>
    <w:rsid w:val="00A10E63"/>
    <w:rsid w:val="00A14847"/>
    <w:rsid w:val="00A1682C"/>
    <w:rsid w:val="00A22903"/>
    <w:rsid w:val="00A240C4"/>
    <w:rsid w:val="00A262EC"/>
    <w:rsid w:val="00A33EB8"/>
    <w:rsid w:val="00A358D1"/>
    <w:rsid w:val="00A5302A"/>
    <w:rsid w:val="00A565A4"/>
    <w:rsid w:val="00A766AF"/>
    <w:rsid w:val="00A85BF4"/>
    <w:rsid w:val="00A921AC"/>
    <w:rsid w:val="00A928DB"/>
    <w:rsid w:val="00AA024C"/>
    <w:rsid w:val="00AB7A62"/>
    <w:rsid w:val="00AD4345"/>
    <w:rsid w:val="00AD76EB"/>
    <w:rsid w:val="00AE5323"/>
    <w:rsid w:val="00AF3DB1"/>
    <w:rsid w:val="00AF5DC7"/>
    <w:rsid w:val="00B03F62"/>
    <w:rsid w:val="00B1354A"/>
    <w:rsid w:val="00B44006"/>
    <w:rsid w:val="00B45B0F"/>
    <w:rsid w:val="00B80613"/>
    <w:rsid w:val="00B857E4"/>
    <w:rsid w:val="00BA4534"/>
    <w:rsid w:val="00BD2180"/>
    <w:rsid w:val="00BD6DBB"/>
    <w:rsid w:val="00C03DBC"/>
    <w:rsid w:val="00C36622"/>
    <w:rsid w:val="00C61AF1"/>
    <w:rsid w:val="00C7694A"/>
    <w:rsid w:val="00C9773B"/>
    <w:rsid w:val="00CB1877"/>
    <w:rsid w:val="00CB2D69"/>
    <w:rsid w:val="00CE2760"/>
    <w:rsid w:val="00D0120A"/>
    <w:rsid w:val="00D0221D"/>
    <w:rsid w:val="00D300E9"/>
    <w:rsid w:val="00D34C88"/>
    <w:rsid w:val="00D37BCB"/>
    <w:rsid w:val="00D40BCB"/>
    <w:rsid w:val="00D522DF"/>
    <w:rsid w:val="00D71291"/>
    <w:rsid w:val="00D73944"/>
    <w:rsid w:val="00D835EF"/>
    <w:rsid w:val="00D84FC9"/>
    <w:rsid w:val="00D85084"/>
    <w:rsid w:val="00D90B5A"/>
    <w:rsid w:val="00D93C77"/>
    <w:rsid w:val="00DA0344"/>
    <w:rsid w:val="00DA5641"/>
    <w:rsid w:val="00DB0BFB"/>
    <w:rsid w:val="00DB5678"/>
    <w:rsid w:val="00DB6197"/>
    <w:rsid w:val="00DF122D"/>
    <w:rsid w:val="00DF42C0"/>
    <w:rsid w:val="00E27599"/>
    <w:rsid w:val="00E44134"/>
    <w:rsid w:val="00E47E72"/>
    <w:rsid w:val="00E61434"/>
    <w:rsid w:val="00F6552D"/>
    <w:rsid w:val="00F713FF"/>
    <w:rsid w:val="00F7489F"/>
    <w:rsid w:val="00F93CF0"/>
    <w:rsid w:val="00FA0845"/>
    <w:rsid w:val="00FA2CC6"/>
    <w:rsid w:val="00FC029F"/>
    <w:rsid w:val="00FC4E50"/>
    <w:rsid w:val="00FC5BEA"/>
    <w:rsid w:val="00FE1B2E"/>
    <w:rsid w:val="00FE26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D0"/>
  </w:style>
  <w:style w:type="paragraph" w:styleId="Ttulo1">
    <w:name w:val="heading 1"/>
    <w:basedOn w:val="Normal"/>
    <w:next w:val="Normal"/>
    <w:link w:val="Ttulo1Char"/>
    <w:uiPriority w:val="9"/>
    <w:qFormat/>
    <w:rsid w:val="002F4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51D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E5A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41D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2F41D0"/>
  </w:style>
  <w:style w:type="table" w:styleId="Tabelacomgrade">
    <w:name w:val="Table Grid"/>
    <w:basedOn w:val="Tabelanormal"/>
    <w:uiPriority w:val="59"/>
    <w:rsid w:val="005D5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5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5D578D"/>
    <w:pPr>
      <w:spacing w:line="240" w:lineRule="auto"/>
    </w:pPr>
    <w:rPr>
      <w:b/>
      <w:bCs/>
      <w:color w:val="4F81BD" w:themeColor="accent1"/>
      <w:sz w:val="18"/>
      <w:szCs w:val="18"/>
    </w:rPr>
  </w:style>
  <w:style w:type="character" w:styleId="nfase">
    <w:name w:val="Emphasis"/>
    <w:basedOn w:val="Fontepargpadro"/>
    <w:uiPriority w:val="20"/>
    <w:qFormat/>
    <w:rsid w:val="005D578D"/>
    <w:rPr>
      <w:i/>
      <w:iCs/>
    </w:rPr>
  </w:style>
  <w:style w:type="paragraph" w:styleId="PargrafodaLista">
    <w:name w:val="List Paragraph"/>
    <w:basedOn w:val="Normal"/>
    <w:uiPriority w:val="34"/>
    <w:qFormat/>
    <w:rsid w:val="00D835EF"/>
    <w:pPr>
      <w:ind w:left="720"/>
      <w:contextualSpacing/>
    </w:pPr>
  </w:style>
  <w:style w:type="table" w:customStyle="1" w:styleId="SombreamentoClaro1">
    <w:name w:val="Sombreamento Claro1"/>
    <w:basedOn w:val="Tabelanormal"/>
    <w:uiPriority w:val="60"/>
    <w:rsid w:val="00707C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563C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C85"/>
    <w:rPr>
      <w:rFonts w:ascii="Tahoma" w:hAnsi="Tahoma" w:cs="Tahoma"/>
      <w:sz w:val="16"/>
      <w:szCs w:val="16"/>
    </w:rPr>
  </w:style>
  <w:style w:type="character" w:customStyle="1" w:styleId="Ttulo3Char">
    <w:name w:val="Título 3 Char"/>
    <w:basedOn w:val="Fontepargpadro"/>
    <w:link w:val="Ttulo3"/>
    <w:uiPriority w:val="9"/>
    <w:rsid w:val="005E5A7D"/>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4190E"/>
    <w:rPr>
      <w:color w:val="808080"/>
    </w:rPr>
  </w:style>
  <w:style w:type="character" w:styleId="Hyperlink">
    <w:name w:val="Hyperlink"/>
    <w:basedOn w:val="Fontepargpadro"/>
    <w:uiPriority w:val="99"/>
    <w:unhideWhenUsed/>
    <w:rsid w:val="00C03DBC"/>
    <w:rPr>
      <w:color w:val="0000FF"/>
      <w:u w:val="single"/>
    </w:rPr>
  </w:style>
  <w:style w:type="paragraph" w:styleId="Cabealho">
    <w:name w:val="header"/>
    <w:basedOn w:val="Normal"/>
    <w:link w:val="CabealhoChar"/>
    <w:uiPriority w:val="99"/>
    <w:unhideWhenUsed/>
    <w:rsid w:val="003429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99C"/>
  </w:style>
  <w:style w:type="paragraph" w:styleId="Rodap">
    <w:name w:val="footer"/>
    <w:basedOn w:val="Normal"/>
    <w:link w:val="RodapChar"/>
    <w:uiPriority w:val="99"/>
    <w:unhideWhenUsed/>
    <w:rsid w:val="0034299C"/>
    <w:pPr>
      <w:tabs>
        <w:tab w:val="center" w:pos="4252"/>
        <w:tab w:val="right" w:pos="8504"/>
      </w:tabs>
      <w:spacing w:after="0" w:line="240" w:lineRule="auto"/>
    </w:pPr>
  </w:style>
  <w:style w:type="character" w:customStyle="1" w:styleId="RodapChar">
    <w:name w:val="Rodapé Char"/>
    <w:basedOn w:val="Fontepargpadro"/>
    <w:link w:val="Rodap"/>
    <w:uiPriority w:val="99"/>
    <w:rsid w:val="0034299C"/>
  </w:style>
  <w:style w:type="character" w:customStyle="1" w:styleId="Ttulo2Char">
    <w:name w:val="Título 2 Char"/>
    <w:basedOn w:val="Fontepargpadro"/>
    <w:link w:val="Ttulo2"/>
    <w:uiPriority w:val="9"/>
    <w:semiHidden/>
    <w:rsid w:val="00451D2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1D0"/>
  </w:style>
  <w:style w:type="paragraph" w:styleId="Ttulo1">
    <w:name w:val="heading 1"/>
    <w:basedOn w:val="Normal"/>
    <w:next w:val="Normal"/>
    <w:link w:val="Ttulo1Char"/>
    <w:uiPriority w:val="9"/>
    <w:qFormat/>
    <w:rsid w:val="002F4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51D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E5A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41D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2F41D0"/>
  </w:style>
  <w:style w:type="table" w:styleId="Tabelacomgrade">
    <w:name w:val="Table Grid"/>
    <w:basedOn w:val="Tabelanormal"/>
    <w:uiPriority w:val="59"/>
    <w:rsid w:val="005D5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57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5D578D"/>
    <w:pPr>
      <w:spacing w:line="240" w:lineRule="auto"/>
    </w:pPr>
    <w:rPr>
      <w:b/>
      <w:bCs/>
      <w:color w:val="4F81BD" w:themeColor="accent1"/>
      <w:sz w:val="18"/>
      <w:szCs w:val="18"/>
    </w:rPr>
  </w:style>
  <w:style w:type="character" w:styleId="nfase">
    <w:name w:val="Emphasis"/>
    <w:basedOn w:val="Fontepargpadro"/>
    <w:uiPriority w:val="20"/>
    <w:qFormat/>
    <w:rsid w:val="005D578D"/>
    <w:rPr>
      <w:i/>
      <w:iCs/>
    </w:rPr>
  </w:style>
  <w:style w:type="paragraph" w:styleId="PargrafodaLista">
    <w:name w:val="List Paragraph"/>
    <w:basedOn w:val="Normal"/>
    <w:uiPriority w:val="34"/>
    <w:qFormat/>
    <w:rsid w:val="00D835EF"/>
    <w:pPr>
      <w:ind w:left="720"/>
      <w:contextualSpacing/>
    </w:pPr>
  </w:style>
  <w:style w:type="table" w:customStyle="1" w:styleId="SombreamentoClaro1">
    <w:name w:val="Sombreamento Claro1"/>
    <w:basedOn w:val="Tabelanormal"/>
    <w:uiPriority w:val="60"/>
    <w:rsid w:val="00707C7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563C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3C85"/>
    <w:rPr>
      <w:rFonts w:ascii="Tahoma" w:hAnsi="Tahoma" w:cs="Tahoma"/>
      <w:sz w:val="16"/>
      <w:szCs w:val="16"/>
    </w:rPr>
  </w:style>
  <w:style w:type="character" w:customStyle="1" w:styleId="Ttulo3Char">
    <w:name w:val="Título 3 Char"/>
    <w:basedOn w:val="Fontepargpadro"/>
    <w:link w:val="Ttulo3"/>
    <w:uiPriority w:val="9"/>
    <w:rsid w:val="005E5A7D"/>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4190E"/>
    <w:rPr>
      <w:color w:val="808080"/>
    </w:rPr>
  </w:style>
  <w:style w:type="character" w:styleId="Hyperlink">
    <w:name w:val="Hyperlink"/>
    <w:basedOn w:val="Fontepargpadro"/>
    <w:uiPriority w:val="99"/>
    <w:unhideWhenUsed/>
    <w:rsid w:val="00C03DBC"/>
    <w:rPr>
      <w:color w:val="0000FF"/>
      <w:u w:val="single"/>
    </w:rPr>
  </w:style>
  <w:style w:type="paragraph" w:styleId="Cabealho">
    <w:name w:val="header"/>
    <w:basedOn w:val="Normal"/>
    <w:link w:val="CabealhoChar"/>
    <w:uiPriority w:val="99"/>
    <w:unhideWhenUsed/>
    <w:rsid w:val="003429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99C"/>
  </w:style>
  <w:style w:type="paragraph" w:styleId="Rodap">
    <w:name w:val="footer"/>
    <w:basedOn w:val="Normal"/>
    <w:link w:val="RodapChar"/>
    <w:uiPriority w:val="99"/>
    <w:unhideWhenUsed/>
    <w:rsid w:val="0034299C"/>
    <w:pPr>
      <w:tabs>
        <w:tab w:val="center" w:pos="4252"/>
        <w:tab w:val="right" w:pos="8504"/>
      </w:tabs>
      <w:spacing w:after="0" w:line="240" w:lineRule="auto"/>
    </w:pPr>
  </w:style>
  <w:style w:type="character" w:customStyle="1" w:styleId="RodapChar">
    <w:name w:val="Rodapé Char"/>
    <w:basedOn w:val="Fontepargpadro"/>
    <w:link w:val="Rodap"/>
    <w:uiPriority w:val="99"/>
    <w:rsid w:val="0034299C"/>
  </w:style>
  <w:style w:type="character" w:customStyle="1" w:styleId="Ttulo2Char">
    <w:name w:val="Título 2 Char"/>
    <w:basedOn w:val="Fontepargpadro"/>
    <w:link w:val="Ttulo2"/>
    <w:uiPriority w:val="9"/>
    <w:semiHidden/>
    <w:rsid w:val="00451D2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452">
      <w:bodyDiv w:val="1"/>
      <w:marLeft w:val="0"/>
      <w:marRight w:val="0"/>
      <w:marTop w:val="0"/>
      <w:marBottom w:val="0"/>
      <w:divBdr>
        <w:top w:val="none" w:sz="0" w:space="0" w:color="auto"/>
        <w:left w:val="none" w:sz="0" w:space="0" w:color="auto"/>
        <w:bottom w:val="none" w:sz="0" w:space="0" w:color="auto"/>
        <w:right w:val="none" w:sz="0" w:space="0" w:color="auto"/>
      </w:divBdr>
    </w:div>
    <w:div w:id="20014913">
      <w:bodyDiv w:val="1"/>
      <w:marLeft w:val="0"/>
      <w:marRight w:val="0"/>
      <w:marTop w:val="0"/>
      <w:marBottom w:val="0"/>
      <w:divBdr>
        <w:top w:val="none" w:sz="0" w:space="0" w:color="auto"/>
        <w:left w:val="none" w:sz="0" w:space="0" w:color="auto"/>
        <w:bottom w:val="none" w:sz="0" w:space="0" w:color="auto"/>
        <w:right w:val="none" w:sz="0" w:space="0" w:color="auto"/>
      </w:divBdr>
    </w:div>
    <w:div w:id="132214262">
      <w:bodyDiv w:val="1"/>
      <w:marLeft w:val="0"/>
      <w:marRight w:val="0"/>
      <w:marTop w:val="0"/>
      <w:marBottom w:val="0"/>
      <w:divBdr>
        <w:top w:val="none" w:sz="0" w:space="0" w:color="auto"/>
        <w:left w:val="none" w:sz="0" w:space="0" w:color="auto"/>
        <w:bottom w:val="none" w:sz="0" w:space="0" w:color="auto"/>
        <w:right w:val="none" w:sz="0" w:space="0" w:color="auto"/>
      </w:divBdr>
    </w:div>
    <w:div w:id="149489290">
      <w:bodyDiv w:val="1"/>
      <w:marLeft w:val="0"/>
      <w:marRight w:val="0"/>
      <w:marTop w:val="0"/>
      <w:marBottom w:val="0"/>
      <w:divBdr>
        <w:top w:val="none" w:sz="0" w:space="0" w:color="auto"/>
        <w:left w:val="none" w:sz="0" w:space="0" w:color="auto"/>
        <w:bottom w:val="none" w:sz="0" w:space="0" w:color="auto"/>
        <w:right w:val="none" w:sz="0" w:space="0" w:color="auto"/>
      </w:divBdr>
    </w:div>
    <w:div w:id="157884610">
      <w:bodyDiv w:val="1"/>
      <w:marLeft w:val="0"/>
      <w:marRight w:val="0"/>
      <w:marTop w:val="0"/>
      <w:marBottom w:val="0"/>
      <w:divBdr>
        <w:top w:val="none" w:sz="0" w:space="0" w:color="auto"/>
        <w:left w:val="none" w:sz="0" w:space="0" w:color="auto"/>
        <w:bottom w:val="none" w:sz="0" w:space="0" w:color="auto"/>
        <w:right w:val="none" w:sz="0" w:space="0" w:color="auto"/>
      </w:divBdr>
    </w:div>
    <w:div w:id="262690288">
      <w:bodyDiv w:val="1"/>
      <w:marLeft w:val="0"/>
      <w:marRight w:val="0"/>
      <w:marTop w:val="0"/>
      <w:marBottom w:val="0"/>
      <w:divBdr>
        <w:top w:val="none" w:sz="0" w:space="0" w:color="auto"/>
        <w:left w:val="none" w:sz="0" w:space="0" w:color="auto"/>
        <w:bottom w:val="none" w:sz="0" w:space="0" w:color="auto"/>
        <w:right w:val="none" w:sz="0" w:space="0" w:color="auto"/>
      </w:divBdr>
    </w:div>
    <w:div w:id="332605925">
      <w:bodyDiv w:val="1"/>
      <w:marLeft w:val="0"/>
      <w:marRight w:val="0"/>
      <w:marTop w:val="0"/>
      <w:marBottom w:val="0"/>
      <w:divBdr>
        <w:top w:val="none" w:sz="0" w:space="0" w:color="auto"/>
        <w:left w:val="none" w:sz="0" w:space="0" w:color="auto"/>
        <w:bottom w:val="none" w:sz="0" w:space="0" w:color="auto"/>
        <w:right w:val="none" w:sz="0" w:space="0" w:color="auto"/>
      </w:divBdr>
    </w:div>
    <w:div w:id="398211325">
      <w:bodyDiv w:val="1"/>
      <w:marLeft w:val="0"/>
      <w:marRight w:val="0"/>
      <w:marTop w:val="0"/>
      <w:marBottom w:val="0"/>
      <w:divBdr>
        <w:top w:val="none" w:sz="0" w:space="0" w:color="auto"/>
        <w:left w:val="none" w:sz="0" w:space="0" w:color="auto"/>
        <w:bottom w:val="none" w:sz="0" w:space="0" w:color="auto"/>
        <w:right w:val="none" w:sz="0" w:space="0" w:color="auto"/>
      </w:divBdr>
    </w:div>
    <w:div w:id="431821343">
      <w:bodyDiv w:val="1"/>
      <w:marLeft w:val="0"/>
      <w:marRight w:val="0"/>
      <w:marTop w:val="0"/>
      <w:marBottom w:val="0"/>
      <w:divBdr>
        <w:top w:val="none" w:sz="0" w:space="0" w:color="auto"/>
        <w:left w:val="none" w:sz="0" w:space="0" w:color="auto"/>
        <w:bottom w:val="none" w:sz="0" w:space="0" w:color="auto"/>
        <w:right w:val="none" w:sz="0" w:space="0" w:color="auto"/>
      </w:divBdr>
    </w:div>
    <w:div w:id="440997729">
      <w:bodyDiv w:val="1"/>
      <w:marLeft w:val="0"/>
      <w:marRight w:val="0"/>
      <w:marTop w:val="0"/>
      <w:marBottom w:val="0"/>
      <w:divBdr>
        <w:top w:val="none" w:sz="0" w:space="0" w:color="auto"/>
        <w:left w:val="none" w:sz="0" w:space="0" w:color="auto"/>
        <w:bottom w:val="none" w:sz="0" w:space="0" w:color="auto"/>
        <w:right w:val="none" w:sz="0" w:space="0" w:color="auto"/>
      </w:divBdr>
    </w:div>
    <w:div w:id="457065685">
      <w:bodyDiv w:val="1"/>
      <w:marLeft w:val="0"/>
      <w:marRight w:val="0"/>
      <w:marTop w:val="0"/>
      <w:marBottom w:val="0"/>
      <w:divBdr>
        <w:top w:val="none" w:sz="0" w:space="0" w:color="auto"/>
        <w:left w:val="none" w:sz="0" w:space="0" w:color="auto"/>
        <w:bottom w:val="none" w:sz="0" w:space="0" w:color="auto"/>
        <w:right w:val="none" w:sz="0" w:space="0" w:color="auto"/>
      </w:divBdr>
    </w:div>
    <w:div w:id="563420201">
      <w:bodyDiv w:val="1"/>
      <w:marLeft w:val="0"/>
      <w:marRight w:val="0"/>
      <w:marTop w:val="0"/>
      <w:marBottom w:val="0"/>
      <w:divBdr>
        <w:top w:val="none" w:sz="0" w:space="0" w:color="auto"/>
        <w:left w:val="none" w:sz="0" w:space="0" w:color="auto"/>
        <w:bottom w:val="none" w:sz="0" w:space="0" w:color="auto"/>
        <w:right w:val="none" w:sz="0" w:space="0" w:color="auto"/>
      </w:divBdr>
    </w:div>
    <w:div w:id="663969111">
      <w:bodyDiv w:val="1"/>
      <w:marLeft w:val="0"/>
      <w:marRight w:val="0"/>
      <w:marTop w:val="0"/>
      <w:marBottom w:val="0"/>
      <w:divBdr>
        <w:top w:val="none" w:sz="0" w:space="0" w:color="auto"/>
        <w:left w:val="none" w:sz="0" w:space="0" w:color="auto"/>
        <w:bottom w:val="none" w:sz="0" w:space="0" w:color="auto"/>
        <w:right w:val="none" w:sz="0" w:space="0" w:color="auto"/>
      </w:divBdr>
    </w:div>
    <w:div w:id="687760793">
      <w:bodyDiv w:val="1"/>
      <w:marLeft w:val="0"/>
      <w:marRight w:val="0"/>
      <w:marTop w:val="0"/>
      <w:marBottom w:val="0"/>
      <w:divBdr>
        <w:top w:val="none" w:sz="0" w:space="0" w:color="auto"/>
        <w:left w:val="none" w:sz="0" w:space="0" w:color="auto"/>
        <w:bottom w:val="none" w:sz="0" w:space="0" w:color="auto"/>
        <w:right w:val="none" w:sz="0" w:space="0" w:color="auto"/>
      </w:divBdr>
    </w:div>
    <w:div w:id="860632761">
      <w:bodyDiv w:val="1"/>
      <w:marLeft w:val="0"/>
      <w:marRight w:val="0"/>
      <w:marTop w:val="0"/>
      <w:marBottom w:val="0"/>
      <w:divBdr>
        <w:top w:val="none" w:sz="0" w:space="0" w:color="auto"/>
        <w:left w:val="none" w:sz="0" w:space="0" w:color="auto"/>
        <w:bottom w:val="none" w:sz="0" w:space="0" w:color="auto"/>
        <w:right w:val="none" w:sz="0" w:space="0" w:color="auto"/>
      </w:divBdr>
    </w:div>
    <w:div w:id="929197004">
      <w:bodyDiv w:val="1"/>
      <w:marLeft w:val="0"/>
      <w:marRight w:val="0"/>
      <w:marTop w:val="0"/>
      <w:marBottom w:val="0"/>
      <w:divBdr>
        <w:top w:val="none" w:sz="0" w:space="0" w:color="auto"/>
        <w:left w:val="none" w:sz="0" w:space="0" w:color="auto"/>
        <w:bottom w:val="none" w:sz="0" w:space="0" w:color="auto"/>
        <w:right w:val="none" w:sz="0" w:space="0" w:color="auto"/>
      </w:divBdr>
    </w:div>
    <w:div w:id="947851910">
      <w:bodyDiv w:val="1"/>
      <w:marLeft w:val="0"/>
      <w:marRight w:val="0"/>
      <w:marTop w:val="0"/>
      <w:marBottom w:val="0"/>
      <w:divBdr>
        <w:top w:val="none" w:sz="0" w:space="0" w:color="auto"/>
        <w:left w:val="none" w:sz="0" w:space="0" w:color="auto"/>
        <w:bottom w:val="none" w:sz="0" w:space="0" w:color="auto"/>
        <w:right w:val="none" w:sz="0" w:space="0" w:color="auto"/>
      </w:divBdr>
    </w:div>
    <w:div w:id="1049106303">
      <w:bodyDiv w:val="1"/>
      <w:marLeft w:val="0"/>
      <w:marRight w:val="0"/>
      <w:marTop w:val="0"/>
      <w:marBottom w:val="0"/>
      <w:divBdr>
        <w:top w:val="none" w:sz="0" w:space="0" w:color="auto"/>
        <w:left w:val="none" w:sz="0" w:space="0" w:color="auto"/>
        <w:bottom w:val="none" w:sz="0" w:space="0" w:color="auto"/>
        <w:right w:val="none" w:sz="0" w:space="0" w:color="auto"/>
      </w:divBdr>
    </w:div>
    <w:div w:id="1398437576">
      <w:bodyDiv w:val="1"/>
      <w:marLeft w:val="0"/>
      <w:marRight w:val="0"/>
      <w:marTop w:val="0"/>
      <w:marBottom w:val="0"/>
      <w:divBdr>
        <w:top w:val="none" w:sz="0" w:space="0" w:color="auto"/>
        <w:left w:val="none" w:sz="0" w:space="0" w:color="auto"/>
        <w:bottom w:val="none" w:sz="0" w:space="0" w:color="auto"/>
        <w:right w:val="none" w:sz="0" w:space="0" w:color="auto"/>
      </w:divBdr>
    </w:div>
    <w:div w:id="1412660943">
      <w:bodyDiv w:val="1"/>
      <w:marLeft w:val="0"/>
      <w:marRight w:val="0"/>
      <w:marTop w:val="0"/>
      <w:marBottom w:val="0"/>
      <w:divBdr>
        <w:top w:val="none" w:sz="0" w:space="0" w:color="auto"/>
        <w:left w:val="none" w:sz="0" w:space="0" w:color="auto"/>
        <w:bottom w:val="none" w:sz="0" w:space="0" w:color="auto"/>
        <w:right w:val="none" w:sz="0" w:space="0" w:color="auto"/>
      </w:divBdr>
    </w:div>
    <w:div w:id="1539472403">
      <w:bodyDiv w:val="1"/>
      <w:marLeft w:val="0"/>
      <w:marRight w:val="0"/>
      <w:marTop w:val="0"/>
      <w:marBottom w:val="0"/>
      <w:divBdr>
        <w:top w:val="none" w:sz="0" w:space="0" w:color="auto"/>
        <w:left w:val="none" w:sz="0" w:space="0" w:color="auto"/>
        <w:bottom w:val="none" w:sz="0" w:space="0" w:color="auto"/>
        <w:right w:val="none" w:sz="0" w:space="0" w:color="auto"/>
      </w:divBdr>
    </w:div>
    <w:div w:id="1540782910">
      <w:bodyDiv w:val="1"/>
      <w:marLeft w:val="0"/>
      <w:marRight w:val="0"/>
      <w:marTop w:val="0"/>
      <w:marBottom w:val="0"/>
      <w:divBdr>
        <w:top w:val="none" w:sz="0" w:space="0" w:color="auto"/>
        <w:left w:val="none" w:sz="0" w:space="0" w:color="auto"/>
        <w:bottom w:val="none" w:sz="0" w:space="0" w:color="auto"/>
        <w:right w:val="none" w:sz="0" w:space="0" w:color="auto"/>
      </w:divBdr>
    </w:div>
    <w:div w:id="1661498133">
      <w:bodyDiv w:val="1"/>
      <w:marLeft w:val="0"/>
      <w:marRight w:val="0"/>
      <w:marTop w:val="0"/>
      <w:marBottom w:val="0"/>
      <w:divBdr>
        <w:top w:val="none" w:sz="0" w:space="0" w:color="auto"/>
        <w:left w:val="none" w:sz="0" w:space="0" w:color="auto"/>
        <w:bottom w:val="none" w:sz="0" w:space="0" w:color="auto"/>
        <w:right w:val="none" w:sz="0" w:space="0" w:color="auto"/>
      </w:divBdr>
    </w:div>
    <w:div w:id="1811970154">
      <w:bodyDiv w:val="1"/>
      <w:marLeft w:val="0"/>
      <w:marRight w:val="0"/>
      <w:marTop w:val="0"/>
      <w:marBottom w:val="0"/>
      <w:divBdr>
        <w:top w:val="none" w:sz="0" w:space="0" w:color="auto"/>
        <w:left w:val="none" w:sz="0" w:space="0" w:color="auto"/>
        <w:bottom w:val="none" w:sz="0" w:space="0" w:color="auto"/>
        <w:right w:val="none" w:sz="0" w:space="0" w:color="auto"/>
      </w:divBdr>
    </w:div>
    <w:div w:id="1914386432">
      <w:bodyDiv w:val="1"/>
      <w:marLeft w:val="0"/>
      <w:marRight w:val="0"/>
      <w:marTop w:val="0"/>
      <w:marBottom w:val="0"/>
      <w:divBdr>
        <w:top w:val="none" w:sz="0" w:space="0" w:color="auto"/>
        <w:left w:val="none" w:sz="0" w:space="0" w:color="auto"/>
        <w:bottom w:val="none" w:sz="0" w:space="0" w:color="auto"/>
        <w:right w:val="none" w:sz="0" w:space="0" w:color="auto"/>
      </w:divBdr>
    </w:div>
    <w:div w:id="19796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inep.gov.br/educacao_superior/enade/notas_tecnicas/2011/manual_indicadores_qualidade_2011_sem_logo.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oks.google.com.br/url?id=W5s8zQ0vhcUC&amp;pg=PA1&amp;q=http://www.springer.com/shop&amp;clientid=ca-print-springer-kluwer_academic&amp;linkid=1&amp;usg=AFQjCNETuz90ML1t7hI8L9cAixXIYYy-ew&amp;source=gbs_pub_info_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planalto.gov.br/ccivil_03/_ato2004-2006/2004/lei/l10.861.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tes.unasp.edu.br/portal/secretariageral/Documentos/BDE/2008-2/1036-07-08-0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ryssa\Desktop\nova%20simpep%20licenciat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100" b="1" i="0" baseline="0">
                <a:effectLst/>
              </a:rPr>
              <a:t>Porcentagem de cusos em cada categoria após de acordo com  a classificação do ELECTRE TRI-C e do CPC</a:t>
            </a:r>
            <a:endParaRPr lang="pt-BR" sz="1100">
              <a:effectLst/>
            </a:endParaRPr>
          </a:p>
        </c:rich>
      </c:tx>
      <c:overlay val="0"/>
    </c:title>
    <c:autoTitleDeleted val="0"/>
    <c:plotArea>
      <c:layout>
        <c:manualLayout>
          <c:layoutTarget val="inner"/>
          <c:xMode val="edge"/>
          <c:yMode val="edge"/>
          <c:x val="0.17742506233913041"/>
          <c:y val="0.23582482980666555"/>
          <c:w val="0.7841340790731488"/>
          <c:h val="0.48041783058186915"/>
        </c:manualLayout>
      </c:layout>
      <c:barChart>
        <c:barDir val="col"/>
        <c:grouping val="stacked"/>
        <c:varyColors val="0"/>
        <c:ser>
          <c:idx val="0"/>
          <c:order val="0"/>
          <c:tx>
            <c:strRef>
              <c:f>Plan3!$O$25</c:f>
              <c:strCache>
                <c:ptCount val="1"/>
                <c:pt idx="0">
                  <c:v>Desempenho Muito Ruim</c:v>
                </c:pt>
              </c:strCache>
            </c:strRef>
          </c:tx>
          <c:invertIfNegative val="0"/>
          <c:dLbls>
            <c:showLegendKey val="0"/>
            <c:showVal val="1"/>
            <c:showCatName val="0"/>
            <c:showSerName val="0"/>
            <c:showPercent val="0"/>
            <c:showBubbleSize val="0"/>
            <c:showLeaderLines val="0"/>
          </c:dLbls>
          <c:cat>
            <c:strRef>
              <c:f>Plan3!$P$24:$Q$24</c:f>
              <c:strCache>
                <c:ptCount val="2"/>
                <c:pt idx="0">
                  <c:v>ELECTRE TRI-C</c:v>
                </c:pt>
                <c:pt idx="1">
                  <c:v>CPC</c:v>
                </c:pt>
              </c:strCache>
            </c:strRef>
          </c:cat>
          <c:val>
            <c:numRef>
              <c:f>Plan3!$P$25:$Q$25</c:f>
              <c:numCache>
                <c:formatCode>General</c:formatCode>
                <c:ptCount val="2"/>
                <c:pt idx="0" formatCode="0.00%">
                  <c:v>0.1203007518796993</c:v>
                </c:pt>
              </c:numCache>
            </c:numRef>
          </c:val>
        </c:ser>
        <c:ser>
          <c:idx val="1"/>
          <c:order val="1"/>
          <c:tx>
            <c:strRef>
              <c:f>Plan3!$O$26</c:f>
              <c:strCache>
                <c:ptCount val="1"/>
                <c:pt idx="0">
                  <c:v>Desempenho Ruim</c:v>
                </c:pt>
              </c:strCache>
            </c:strRef>
          </c:tx>
          <c:invertIfNegative val="0"/>
          <c:dLbls>
            <c:showLegendKey val="0"/>
            <c:showVal val="1"/>
            <c:showCatName val="0"/>
            <c:showSerName val="0"/>
            <c:showPercent val="0"/>
            <c:showBubbleSize val="0"/>
            <c:showLeaderLines val="0"/>
          </c:dLbls>
          <c:cat>
            <c:strRef>
              <c:f>Plan3!$P$24:$Q$24</c:f>
              <c:strCache>
                <c:ptCount val="2"/>
                <c:pt idx="0">
                  <c:v>ELECTRE TRI-C</c:v>
                </c:pt>
                <c:pt idx="1">
                  <c:v>CPC</c:v>
                </c:pt>
              </c:strCache>
            </c:strRef>
          </c:cat>
          <c:val>
            <c:numRef>
              <c:f>Plan3!$P$26:$Q$26</c:f>
              <c:numCache>
                <c:formatCode>0.00%</c:formatCode>
                <c:ptCount val="2"/>
                <c:pt idx="0">
                  <c:v>0.33834586466165462</c:v>
                </c:pt>
                <c:pt idx="1">
                  <c:v>0.1578947368421055</c:v>
                </c:pt>
              </c:numCache>
            </c:numRef>
          </c:val>
        </c:ser>
        <c:ser>
          <c:idx val="2"/>
          <c:order val="2"/>
          <c:tx>
            <c:strRef>
              <c:f>Plan3!$O$27</c:f>
              <c:strCache>
                <c:ptCount val="1"/>
                <c:pt idx="0">
                  <c:v>Desempenho Satisfatório</c:v>
                </c:pt>
              </c:strCache>
            </c:strRef>
          </c:tx>
          <c:invertIfNegative val="0"/>
          <c:dLbls>
            <c:showLegendKey val="0"/>
            <c:showVal val="1"/>
            <c:showCatName val="0"/>
            <c:showSerName val="0"/>
            <c:showPercent val="0"/>
            <c:showBubbleSize val="0"/>
            <c:showLeaderLines val="0"/>
          </c:dLbls>
          <c:cat>
            <c:strRef>
              <c:f>Plan3!$P$24:$Q$24</c:f>
              <c:strCache>
                <c:ptCount val="2"/>
                <c:pt idx="0">
                  <c:v>ELECTRE TRI-C</c:v>
                </c:pt>
                <c:pt idx="1">
                  <c:v>CPC</c:v>
                </c:pt>
              </c:strCache>
            </c:strRef>
          </c:cat>
          <c:val>
            <c:numRef>
              <c:f>Plan3!$P$27:$Q$27</c:f>
              <c:numCache>
                <c:formatCode>0.00%</c:formatCode>
                <c:ptCount val="2"/>
                <c:pt idx="0">
                  <c:v>0.34586466165413582</c:v>
                </c:pt>
                <c:pt idx="1">
                  <c:v>0.5</c:v>
                </c:pt>
              </c:numCache>
            </c:numRef>
          </c:val>
        </c:ser>
        <c:ser>
          <c:idx val="3"/>
          <c:order val="3"/>
          <c:tx>
            <c:strRef>
              <c:f>Plan3!$O$28</c:f>
              <c:strCache>
                <c:ptCount val="1"/>
                <c:pt idx="0">
                  <c:v>Desempenho Bom</c:v>
                </c:pt>
              </c:strCache>
            </c:strRef>
          </c:tx>
          <c:invertIfNegative val="0"/>
          <c:dLbls>
            <c:showLegendKey val="0"/>
            <c:showVal val="1"/>
            <c:showCatName val="0"/>
            <c:showSerName val="0"/>
            <c:showPercent val="0"/>
            <c:showBubbleSize val="0"/>
            <c:showLeaderLines val="0"/>
          </c:dLbls>
          <c:cat>
            <c:strRef>
              <c:f>Plan3!$P$24:$Q$24</c:f>
              <c:strCache>
                <c:ptCount val="2"/>
                <c:pt idx="0">
                  <c:v>ELECTRE TRI-C</c:v>
                </c:pt>
                <c:pt idx="1">
                  <c:v>CPC</c:v>
                </c:pt>
              </c:strCache>
            </c:strRef>
          </c:cat>
          <c:val>
            <c:numRef>
              <c:f>Plan3!$P$28:$Q$28</c:f>
              <c:numCache>
                <c:formatCode>0.00%</c:formatCode>
                <c:ptCount val="2"/>
                <c:pt idx="0">
                  <c:v>0.16165413533834588</c:v>
                </c:pt>
                <c:pt idx="1">
                  <c:v>0.30451127819548901</c:v>
                </c:pt>
              </c:numCache>
            </c:numRef>
          </c:val>
        </c:ser>
        <c:ser>
          <c:idx val="4"/>
          <c:order val="4"/>
          <c:tx>
            <c:strRef>
              <c:f>Plan3!$O$29</c:f>
              <c:strCache>
                <c:ptCount val="1"/>
                <c:pt idx="0">
                  <c:v>Desempenho Muito Bom </c:v>
                </c:pt>
              </c:strCache>
            </c:strRef>
          </c:tx>
          <c:invertIfNegative val="0"/>
          <c:dLbls>
            <c:showLegendKey val="0"/>
            <c:showVal val="1"/>
            <c:showCatName val="0"/>
            <c:showSerName val="0"/>
            <c:showPercent val="0"/>
            <c:showBubbleSize val="0"/>
            <c:showLeaderLines val="0"/>
          </c:dLbls>
          <c:cat>
            <c:strRef>
              <c:f>Plan3!$P$24:$Q$24</c:f>
              <c:strCache>
                <c:ptCount val="2"/>
                <c:pt idx="0">
                  <c:v>ELECTRE TRI-C</c:v>
                </c:pt>
                <c:pt idx="1">
                  <c:v>CPC</c:v>
                </c:pt>
              </c:strCache>
            </c:strRef>
          </c:cat>
          <c:val>
            <c:numRef>
              <c:f>Plan3!$P$29:$Q$29</c:f>
              <c:numCache>
                <c:formatCode>0.00%</c:formatCode>
                <c:ptCount val="2"/>
                <c:pt idx="0">
                  <c:v>3.3834586466165412E-2</c:v>
                </c:pt>
                <c:pt idx="1">
                  <c:v>3.7593984962406034E-2</c:v>
                </c:pt>
              </c:numCache>
            </c:numRef>
          </c:val>
        </c:ser>
        <c:dLbls>
          <c:showLegendKey val="0"/>
          <c:showVal val="0"/>
          <c:showCatName val="0"/>
          <c:showSerName val="0"/>
          <c:showPercent val="0"/>
          <c:showBubbleSize val="0"/>
        </c:dLbls>
        <c:gapWidth val="150"/>
        <c:overlap val="100"/>
        <c:axId val="114805376"/>
        <c:axId val="114815360"/>
      </c:barChart>
      <c:catAx>
        <c:axId val="114805376"/>
        <c:scaling>
          <c:orientation val="minMax"/>
        </c:scaling>
        <c:delete val="0"/>
        <c:axPos val="b"/>
        <c:majorTickMark val="out"/>
        <c:minorTickMark val="none"/>
        <c:tickLblPos val="nextTo"/>
        <c:crossAx val="114815360"/>
        <c:crosses val="autoZero"/>
        <c:auto val="1"/>
        <c:lblAlgn val="ctr"/>
        <c:lblOffset val="100"/>
        <c:noMultiLvlLbl val="0"/>
      </c:catAx>
      <c:valAx>
        <c:axId val="114815360"/>
        <c:scaling>
          <c:orientation val="minMax"/>
          <c:max val="1"/>
        </c:scaling>
        <c:delete val="0"/>
        <c:axPos val="l"/>
        <c:numFmt formatCode="0.00%" sourceLinked="1"/>
        <c:majorTickMark val="out"/>
        <c:minorTickMark val="none"/>
        <c:tickLblPos val="nextTo"/>
        <c:crossAx val="114805376"/>
        <c:crosses val="autoZero"/>
        <c:crossBetween val="between"/>
      </c:valAx>
    </c:plotArea>
    <c:legend>
      <c:legendPos val="b"/>
      <c:layout>
        <c:manualLayout>
          <c:xMode val="edge"/>
          <c:yMode val="edge"/>
          <c:x val="2.3637399748158001E-2"/>
          <c:y val="0.8354346884452728"/>
          <c:w val="0.93852002370671417"/>
          <c:h val="0.135633560437569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9E81-2049-44BA-A84D-A3CB3EE0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21</Pages>
  <Words>7403</Words>
  <Characters>39980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dc:creator>
  <cp:lastModifiedBy>Laryssa</cp:lastModifiedBy>
  <cp:revision>20</cp:revision>
  <dcterms:created xsi:type="dcterms:W3CDTF">2016-01-27T01:32:00Z</dcterms:created>
  <dcterms:modified xsi:type="dcterms:W3CDTF">2016-02-02T10:56:00Z</dcterms:modified>
</cp:coreProperties>
</file>